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DC1" w:rsidRPr="007B1DC1" w:rsidRDefault="007B1DC1" w:rsidP="007B1DC1">
      <w:pPr>
        <w:spacing w:after="161" w:line="240" w:lineRule="auto"/>
        <w:outlineLvl w:val="0"/>
        <w:rPr>
          <w:rFonts w:ascii="inherit" w:eastAsia="Times New Roman" w:hAnsi="inherit" w:cs="Arial"/>
          <w:color w:val="292B2C"/>
          <w:kern w:val="36"/>
          <w:sz w:val="48"/>
          <w:szCs w:val="48"/>
          <w:lang w:eastAsia="it-IT"/>
        </w:rPr>
      </w:pPr>
      <w:r w:rsidRPr="007B1DC1">
        <w:rPr>
          <w:rFonts w:ascii="inherit" w:eastAsia="Times New Roman" w:hAnsi="inherit" w:cs="Arial"/>
          <w:color w:val="292B2C"/>
          <w:kern w:val="36"/>
          <w:sz w:val="48"/>
          <w:szCs w:val="48"/>
          <w:lang w:eastAsia="it-IT"/>
        </w:rPr>
        <w:t xml:space="preserve">Rimborsi spese ai volontari: tra favorevoli e contrari la riforma fa discutere </w:t>
      </w:r>
    </w:p>
    <w:p w:rsidR="007B1DC1" w:rsidRPr="007B1DC1" w:rsidRDefault="007B1DC1" w:rsidP="007B1DC1">
      <w:pPr>
        <w:spacing w:after="100" w:afterAutospacing="1" w:line="240" w:lineRule="auto"/>
        <w:rPr>
          <w:rFonts w:ascii="inherit" w:eastAsia="Times New Roman" w:hAnsi="inherit" w:cs="Arial"/>
          <w:color w:val="292B2C"/>
          <w:sz w:val="24"/>
          <w:szCs w:val="24"/>
          <w:lang w:eastAsia="it-IT"/>
        </w:rPr>
      </w:pPr>
      <w:r w:rsidRPr="007B1DC1">
        <w:rPr>
          <w:rFonts w:ascii="inherit" w:eastAsia="Times New Roman" w:hAnsi="inherit" w:cs="Arial"/>
          <w:i/>
          <w:iCs/>
          <w:color w:val="292B2C"/>
          <w:sz w:val="24"/>
          <w:szCs w:val="24"/>
          <w:lang w:eastAsia="it-IT"/>
        </w:rPr>
        <w:t>Il presidente di CSVnet su uno degli aspetti più spinosi del Codice del Terzo settore: “Sono pratiche non obbligatorie, non si diffonda un clima di sfiducia verso chi le utilizzerà. È bene però attivare gli anticorpi per evitare abusi”. E insieme ad altri protagonisti e osservatori del non profit interviene su Repubblica.it</w:t>
      </w:r>
    </w:p>
    <w:p w:rsidR="007B1DC1" w:rsidRPr="007B1DC1" w:rsidRDefault="007B1DC1" w:rsidP="007B1DC1">
      <w:pPr>
        <w:spacing w:after="0" w:line="240" w:lineRule="auto"/>
        <w:rPr>
          <w:rFonts w:ascii="inherit" w:eastAsia="Times New Roman" w:hAnsi="inherit" w:cs="Arial"/>
          <w:color w:val="6C6C6C"/>
          <w:sz w:val="24"/>
          <w:szCs w:val="24"/>
          <w:lang w:eastAsia="it-IT"/>
        </w:rPr>
      </w:pPr>
      <w:r w:rsidRPr="007B1DC1">
        <w:rPr>
          <w:rFonts w:ascii="inherit" w:eastAsia="Times New Roman" w:hAnsi="inherit" w:cs="Arial"/>
          <w:color w:val="6C6C6C"/>
          <w:sz w:val="24"/>
          <w:szCs w:val="24"/>
          <w:lang w:eastAsia="it-IT"/>
        </w:rPr>
        <w:t xml:space="preserve">di </w:t>
      </w:r>
      <w:r w:rsidRPr="007B1DC1">
        <w:rPr>
          <w:rFonts w:ascii="inherit" w:eastAsia="Times New Roman" w:hAnsi="inherit" w:cs="Arial"/>
          <w:b/>
          <w:bCs/>
          <w:color w:val="6C6C6C"/>
          <w:sz w:val="24"/>
          <w:szCs w:val="24"/>
          <w:lang w:eastAsia="it-IT"/>
        </w:rPr>
        <w:t>Clara Capponi</w:t>
      </w:r>
      <w:r w:rsidRPr="007B1DC1">
        <w:rPr>
          <w:rFonts w:ascii="inherit" w:eastAsia="Times New Roman" w:hAnsi="inherit" w:cs="Arial"/>
          <w:color w:val="6C6C6C"/>
          <w:sz w:val="24"/>
          <w:szCs w:val="24"/>
          <w:lang w:eastAsia="it-IT"/>
        </w:rPr>
        <w:t xml:space="preserve"> </w:t>
      </w:r>
    </w:p>
    <w:p w:rsidR="007B1DC1" w:rsidRPr="007B1DC1" w:rsidRDefault="007B1DC1" w:rsidP="007B1DC1">
      <w:pPr>
        <w:spacing w:after="0" w:line="240" w:lineRule="auto"/>
        <w:rPr>
          <w:rFonts w:ascii="inherit" w:eastAsia="Times New Roman" w:hAnsi="inherit" w:cs="Arial"/>
          <w:color w:val="6C6C6C"/>
          <w:sz w:val="24"/>
          <w:szCs w:val="24"/>
          <w:lang w:eastAsia="it-IT"/>
        </w:rPr>
      </w:pPr>
      <w:r w:rsidRPr="007B1DC1">
        <w:rPr>
          <w:rFonts w:ascii="inherit" w:eastAsia="Times New Roman" w:hAnsi="inherit" w:cs="Arial"/>
          <w:color w:val="6C6C6C"/>
          <w:sz w:val="24"/>
          <w:szCs w:val="24"/>
          <w:lang w:eastAsia="it-IT"/>
        </w:rPr>
        <w:t xml:space="preserve">Mercoledì, 23 Agosto 2017 </w:t>
      </w:r>
    </w:p>
    <w:p w:rsidR="007B1DC1" w:rsidRPr="007B1DC1" w:rsidRDefault="007B1DC1" w:rsidP="007B1DC1">
      <w:pPr>
        <w:spacing w:after="100" w:afterAutospacing="1" w:line="240" w:lineRule="auto"/>
        <w:rPr>
          <w:rFonts w:ascii="inherit" w:eastAsia="Times New Roman" w:hAnsi="inherit" w:cs="Arial"/>
          <w:color w:val="292B2C"/>
          <w:sz w:val="24"/>
          <w:szCs w:val="24"/>
          <w:lang w:eastAsia="it-IT"/>
        </w:rPr>
      </w:pPr>
      <w:r w:rsidRPr="007B1DC1">
        <w:rPr>
          <w:rFonts w:ascii="inherit" w:eastAsia="Times New Roman" w:hAnsi="inherit" w:cs="Arial"/>
          <w:color w:val="292B2C"/>
          <w:sz w:val="24"/>
          <w:szCs w:val="24"/>
          <w:lang w:eastAsia="it-IT"/>
        </w:rPr>
        <w:t>Fra gli aspetti su cui incide il Codice del terzo settore, </w:t>
      </w:r>
      <w:hyperlink r:id="rId4" w:tgtFrame="_blank" w:history="1">
        <w:r w:rsidRPr="007B1DC1">
          <w:rPr>
            <w:rFonts w:ascii="inherit" w:eastAsia="Times New Roman" w:hAnsi="inherit" w:cs="Arial"/>
            <w:color w:val="0066CC"/>
            <w:sz w:val="24"/>
            <w:szCs w:val="24"/>
            <w:u w:val="single"/>
            <w:lang w:eastAsia="it-IT"/>
          </w:rPr>
          <w:t>in vigore dai primi di agosto</w:t>
        </w:r>
      </w:hyperlink>
      <w:r w:rsidRPr="007B1DC1">
        <w:rPr>
          <w:rFonts w:ascii="inherit" w:eastAsia="Times New Roman" w:hAnsi="inherit" w:cs="Arial"/>
          <w:color w:val="292B2C"/>
          <w:sz w:val="24"/>
          <w:szCs w:val="24"/>
          <w:lang w:eastAsia="it-IT"/>
        </w:rPr>
        <w:t>, uno tra i più discussi riguarda i rimborsi spese ai volontari. L’art.17 infatti prevede la possibilità di liquidare ai volontari le piccole spese – fino a 10 euro al giorno per un massimo di 150 euro mensili – senza allegare i giustificativi, presentando un’autocertificazione sotto propria responsabilità. Una norma controversa, che anima un dibattitto acceso all’interno del non profit e tra gli addetti ai lavori.</w:t>
      </w:r>
    </w:p>
    <w:p w:rsidR="007B1DC1" w:rsidRPr="007B1DC1" w:rsidRDefault="007B1DC1" w:rsidP="007B1DC1">
      <w:pPr>
        <w:spacing w:after="100" w:afterAutospacing="1" w:line="240" w:lineRule="auto"/>
        <w:rPr>
          <w:rFonts w:ascii="inherit" w:eastAsia="Times New Roman" w:hAnsi="inherit" w:cs="Arial"/>
          <w:color w:val="292B2C"/>
          <w:sz w:val="24"/>
          <w:szCs w:val="24"/>
          <w:lang w:eastAsia="it-IT"/>
        </w:rPr>
      </w:pPr>
      <w:r w:rsidRPr="007B1DC1">
        <w:rPr>
          <w:rFonts w:ascii="inherit" w:eastAsia="Times New Roman" w:hAnsi="inherit" w:cs="Arial"/>
          <w:color w:val="292B2C"/>
          <w:sz w:val="24"/>
          <w:szCs w:val="24"/>
          <w:lang w:eastAsia="it-IT"/>
        </w:rPr>
        <w:t>Mentre per alcuni il Codice introduce solo una semplificazione burocratica utile soprattutto per le piccole associazioni, altri intravedono il rischio di riconoscere al volontariato piccole somme di denaro senza documentazione, favorendo forme di lavoro “mascherato” e in contrasto con il principio di gratuità alla base dell’azione volontaria.</w:t>
      </w:r>
    </w:p>
    <w:p w:rsidR="007B1DC1" w:rsidRPr="007B1DC1" w:rsidRDefault="007B1DC1" w:rsidP="007B1DC1">
      <w:pPr>
        <w:spacing w:after="100" w:afterAutospacing="1" w:line="240" w:lineRule="auto"/>
        <w:rPr>
          <w:rFonts w:ascii="inherit" w:eastAsia="Times New Roman" w:hAnsi="inherit" w:cs="Arial"/>
          <w:color w:val="292B2C"/>
          <w:sz w:val="24"/>
          <w:szCs w:val="24"/>
          <w:lang w:eastAsia="it-IT"/>
        </w:rPr>
      </w:pPr>
      <w:r w:rsidRPr="007B1DC1">
        <w:rPr>
          <w:rFonts w:ascii="inherit" w:eastAsia="Times New Roman" w:hAnsi="inherit" w:cs="Arial"/>
          <w:color w:val="292B2C"/>
          <w:sz w:val="24"/>
          <w:szCs w:val="24"/>
          <w:lang w:eastAsia="it-IT"/>
        </w:rPr>
        <w:t>In un </w:t>
      </w:r>
      <w:hyperlink r:id="rId5" w:tgtFrame="_blank" w:history="1">
        <w:r w:rsidRPr="007B1DC1">
          <w:rPr>
            <w:rFonts w:ascii="inherit" w:eastAsia="Times New Roman" w:hAnsi="inherit" w:cs="Arial"/>
            <w:b/>
            <w:bCs/>
            <w:color w:val="0066CC"/>
            <w:sz w:val="24"/>
            <w:szCs w:val="24"/>
            <w:u w:val="single"/>
            <w:lang w:eastAsia="it-IT"/>
          </w:rPr>
          <w:t>articolo pubblicato su Repubblica.it</w:t>
        </w:r>
      </w:hyperlink>
      <w:r w:rsidRPr="007B1DC1">
        <w:rPr>
          <w:rFonts w:ascii="inherit" w:eastAsia="Times New Roman" w:hAnsi="inherit" w:cs="Arial"/>
          <w:color w:val="292B2C"/>
          <w:sz w:val="24"/>
          <w:szCs w:val="24"/>
          <w:lang w:eastAsia="it-IT"/>
        </w:rPr>
        <w:t> la giornalista Ida Cappiello ha messo insieme le voci dei favorevoli e dei contrari intervistando protagonisti e osservatori del non profit; tra loro anche il presidente di CSVnet </w:t>
      </w:r>
      <w:r w:rsidRPr="007B1DC1">
        <w:rPr>
          <w:rFonts w:ascii="inherit" w:eastAsia="Times New Roman" w:hAnsi="inherit" w:cs="Arial"/>
          <w:b/>
          <w:bCs/>
          <w:color w:val="292B2C"/>
          <w:sz w:val="24"/>
          <w:szCs w:val="24"/>
          <w:lang w:eastAsia="it-IT"/>
        </w:rPr>
        <w:t xml:space="preserve">Stefano </w:t>
      </w:r>
      <w:proofErr w:type="spellStart"/>
      <w:r w:rsidRPr="007B1DC1">
        <w:rPr>
          <w:rFonts w:ascii="inherit" w:eastAsia="Times New Roman" w:hAnsi="inherit" w:cs="Arial"/>
          <w:b/>
          <w:bCs/>
          <w:color w:val="292B2C"/>
          <w:sz w:val="24"/>
          <w:szCs w:val="24"/>
          <w:lang w:eastAsia="it-IT"/>
        </w:rPr>
        <w:t>Tabò</w:t>
      </w:r>
      <w:proofErr w:type="spellEnd"/>
      <w:r w:rsidRPr="007B1DC1">
        <w:rPr>
          <w:rFonts w:ascii="inherit" w:eastAsia="Times New Roman" w:hAnsi="inherit" w:cs="Arial"/>
          <w:color w:val="292B2C"/>
          <w:sz w:val="24"/>
          <w:szCs w:val="24"/>
          <w:lang w:eastAsia="it-IT"/>
        </w:rPr>
        <w:t xml:space="preserve">. “Il tema del rimborso spese forfettario ai volontari è stato uno dei punti più dibattuti nell’iter della riforma, nonostante siano in gioco somme molto contenute, – ha spiegato </w:t>
      </w:r>
      <w:proofErr w:type="spellStart"/>
      <w:r w:rsidRPr="007B1DC1">
        <w:rPr>
          <w:rFonts w:ascii="inherit" w:eastAsia="Times New Roman" w:hAnsi="inherit" w:cs="Arial"/>
          <w:color w:val="292B2C"/>
          <w:sz w:val="24"/>
          <w:szCs w:val="24"/>
          <w:lang w:eastAsia="it-IT"/>
        </w:rPr>
        <w:t>Tabò</w:t>
      </w:r>
      <w:proofErr w:type="spellEnd"/>
      <w:r w:rsidRPr="007B1DC1">
        <w:rPr>
          <w:rFonts w:ascii="inherit" w:eastAsia="Times New Roman" w:hAnsi="inherit" w:cs="Arial"/>
          <w:color w:val="292B2C"/>
          <w:sz w:val="24"/>
          <w:szCs w:val="24"/>
          <w:lang w:eastAsia="it-IT"/>
        </w:rPr>
        <w:t>. – Ricordiamoci, però, che la pratica dell’autocertificazione, e lo stesso rimborso spese, </w:t>
      </w:r>
      <w:r w:rsidRPr="007B1DC1">
        <w:rPr>
          <w:rFonts w:ascii="inherit" w:eastAsia="Times New Roman" w:hAnsi="inherit" w:cs="Arial"/>
          <w:b/>
          <w:bCs/>
          <w:color w:val="292B2C"/>
          <w:sz w:val="24"/>
          <w:szCs w:val="24"/>
          <w:lang w:eastAsia="it-IT"/>
        </w:rPr>
        <w:t>non sono obbligatori</w:t>
      </w:r>
      <w:r w:rsidRPr="007B1DC1">
        <w:rPr>
          <w:rFonts w:ascii="inherit" w:eastAsia="Times New Roman" w:hAnsi="inherit" w:cs="Arial"/>
          <w:color w:val="292B2C"/>
          <w:sz w:val="24"/>
          <w:szCs w:val="24"/>
          <w:lang w:eastAsia="it-IT"/>
        </w:rPr>
        <w:t> e, pur se previsti dalla norma, </w:t>
      </w:r>
      <w:r w:rsidRPr="007B1DC1">
        <w:rPr>
          <w:rFonts w:ascii="inherit" w:eastAsia="Times New Roman" w:hAnsi="inherit" w:cs="Arial"/>
          <w:b/>
          <w:bCs/>
          <w:color w:val="292B2C"/>
          <w:sz w:val="24"/>
          <w:szCs w:val="24"/>
          <w:lang w:eastAsia="it-IT"/>
        </w:rPr>
        <w:t>non creano alcun diritto per i volontari</w:t>
      </w:r>
      <w:r w:rsidRPr="007B1DC1">
        <w:rPr>
          <w:rFonts w:ascii="inherit" w:eastAsia="Times New Roman" w:hAnsi="inherit" w:cs="Arial"/>
          <w:color w:val="292B2C"/>
          <w:sz w:val="24"/>
          <w:szCs w:val="24"/>
          <w:lang w:eastAsia="it-IT"/>
        </w:rPr>
        <w:t>, essendo lasciata ogni decisione alla singola organizzazione. Detto questo, non si diffonda una </w:t>
      </w:r>
      <w:r w:rsidRPr="007B1DC1">
        <w:rPr>
          <w:rFonts w:ascii="inherit" w:eastAsia="Times New Roman" w:hAnsi="inherit" w:cs="Arial"/>
          <w:b/>
          <w:bCs/>
          <w:color w:val="292B2C"/>
          <w:sz w:val="24"/>
          <w:szCs w:val="24"/>
          <w:lang w:eastAsia="it-IT"/>
        </w:rPr>
        <w:t>visione incentrata sulla sfiducia</w:t>
      </w:r>
      <w:r w:rsidRPr="007B1DC1">
        <w:rPr>
          <w:rFonts w:ascii="inherit" w:eastAsia="Times New Roman" w:hAnsi="inherit" w:cs="Arial"/>
          <w:color w:val="292B2C"/>
          <w:sz w:val="24"/>
          <w:szCs w:val="24"/>
          <w:lang w:eastAsia="it-IT"/>
        </w:rPr>
        <w:t> nei confronti di chi utilizzerà il meccanismo del rimborso forfettario. Sappiamo che nei rimborsi spese lo spazio per il grigio, finanche dell’illecito, esiste da sempre, ovunque e comunque, a prescindere dall’autocertificazione. </w:t>
      </w:r>
      <w:r w:rsidRPr="007B1DC1">
        <w:rPr>
          <w:rFonts w:ascii="inherit" w:eastAsia="Times New Roman" w:hAnsi="inherit" w:cs="Arial"/>
          <w:b/>
          <w:bCs/>
          <w:color w:val="292B2C"/>
          <w:sz w:val="24"/>
          <w:szCs w:val="24"/>
          <w:lang w:eastAsia="it-IT"/>
        </w:rPr>
        <w:t>Teniamo comunque gli occhi aperti e vigileremo</w:t>
      </w:r>
      <w:r w:rsidRPr="007B1DC1">
        <w:rPr>
          <w:rFonts w:ascii="inherit" w:eastAsia="Times New Roman" w:hAnsi="inherit" w:cs="Arial"/>
          <w:color w:val="292B2C"/>
          <w:sz w:val="24"/>
          <w:szCs w:val="24"/>
          <w:lang w:eastAsia="it-IT"/>
        </w:rPr>
        <w:t>”.</w:t>
      </w:r>
    </w:p>
    <w:p w:rsidR="008E7648" w:rsidRDefault="007B1DC1" w:rsidP="007B1DC1">
      <w:pPr>
        <w:spacing w:after="100" w:afterAutospacing="1" w:line="240" w:lineRule="auto"/>
      </w:pPr>
      <w:r w:rsidRPr="007B1DC1">
        <w:rPr>
          <w:rFonts w:ascii="inherit" w:eastAsia="Times New Roman" w:hAnsi="inherit" w:cs="Arial"/>
          <w:color w:val="292B2C"/>
          <w:sz w:val="24"/>
          <w:szCs w:val="24"/>
          <w:lang w:eastAsia="it-IT"/>
        </w:rPr>
        <w:t>“È però da affermare con forza, – aggiunge oggi il presidente di CSVnet a margine della dichiarazione rilasciata a Repubblica, – </w:t>
      </w:r>
      <w:r w:rsidRPr="007B1DC1">
        <w:rPr>
          <w:rFonts w:ascii="inherit" w:eastAsia="Times New Roman" w:hAnsi="inherit" w:cs="Arial"/>
          <w:b/>
          <w:bCs/>
          <w:color w:val="292B2C"/>
          <w:sz w:val="24"/>
          <w:szCs w:val="24"/>
          <w:lang w:eastAsia="it-IT"/>
        </w:rPr>
        <w:t>che non esiste alcun meccanismo di causa-effetto</w:t>
      </w:r>
      <w:r w:rsidRPr="007B1DC1">
        <w:rPr>
          <w:rFonts w:ascii="inherit" w:eastAsia="Times New Roman" w:hAnsi="inherit" w:cs="Arial"/>
          <w:color w:val="292B2C"/>
          <w:sz w:val="24"/>
          <w:szCs w:val="24"/>
          <w:lang w:eastAsia="it-IT"/>
        </w:rPr>
        <w:t>: a norma data ne consegue l’abuso. Tra la definizione della norma e </w:t>
      </w:r>
      <w:r w:rsidRPr="007B1DC1">
        <w:rPr>
          <w:rFonts w:ascii="inherit" w:eastAsia="Times New Roman" w:hAnsi="inherit" w:cs="Arial"/>
          <w:b/>
          <w:bCs/>
          <w:color w:val="292B2C"/>
          <w:sz w:val="24"/>
          <w:szCs w:val="24"/>
          <w:lang w:eastAsia="it-IT"/>
        </w:rPr>
        <w:t>la pratica dell’abuso ci sta sempre la volontà di compierlo</w:t>
      </w:r>
      <w:r w:rsidRPr="007B1DC1">
        <w:rPr>
          <w:rFonts w:ascii="inherit" w:eastAsia="Times New Roman" w:hAnsi="inherit" w:cs="Arial"/>
          <w:color w:val="292B2C"/>
          <w:sz w:val="24"/>
          <w:szCs w:val="24"/>
          <w:lang w:eastAsia="it-IT"/>
        </w:rPr>
        <w:t>. E, al fine di contrastare o anche solo prevenire tale intenzione, è bene attivare certamente tutti gli anticorpi del caso, sul piano culturale e regolamentare”.</w:t>
      </w:r>
      <w:r w:rsidRPr="007B1DC1">
        <w:rPr>
          <w:rFonts w:ascii="inherit" w:eastAsia="Times New Roman" w:hAnsi="inherit" w:cs="Arial"/>
          <w:color w:val="292B2C"/>
          <w:sz w:val="24"/>
          <w:szCs w:val="24"/>
          <w:lang w:eastAsia="it-IT"/>
        </w:rPr>
        <w:br/>
        <w:t>“C’è da auspicare – prosegue – che attorno al tema non si consolidi una nuova frontiera: di qui </w:t>
      </w:r>
      <w:r w:rsidRPr="007B1DC1">
        <w:rPr>
          <w:rFonts w:ascii="inherit" w:eastAsia="Times New Roman" w:hAnsi="inherit" w:cs="Arial"/>
          <w:b/>
          <w:bCs/>
          <w:color w:val="292B2C"/>
          <w:sz w:val="24"/>
          <w:szCs w:val="24"/>
          <w:lang w:eastAsia="it-IT"/>
        </w:rPr>
        <w:t>gli uni (i favorevoli) e di là gli altri (i contrari) a contendersi la bandiera del volontariato</w:t>
      </w:r>
      <w:r w:rsidRPr="007B1DC1">
        <w:rPr>
          <w:rFonts w:ascii="inherit" w:eastAsia="Times New Roman" w:hAnsi="inherit" w:cs="Arial"/>
          <w:color w:val="292B2C"/>
          <w:sz w:val="24"/>
          <w:szCs w:val="24"/>
          <w:lang w:eastAsia="it-IT"/>
        </w:rPr>
        <w:t>. Prenda corpo, invece, un laboratorio comune, volto ad assicurare doverosamente al mondo del volontariato chiarezza e trasparenza. Si tratta di sondare tutti gli aspetti della questione, pervenendo a precise linee guida generali, definite anche sulla base delle </w:t>
      </w:r>
      <w:r w:rsidRPr="007B1DC1">
        <w:rPr>
          <w:rFonts w:ascii="inherit" w:eastAsia="Times New Roman" w:hAnsi="inherit" w:cs="Arial"/>
          <w:b/>
          <w:bCs/>
          <w:color w:val="292B2C"/>
          <w:sz w:val="24"/>
          <w:szCs w:val="24"/>
          <w:lang w:eastAsia="it-IT"/>
        </w:rPr>
        <w:t>esperienze virtuose maturate in questi anni</w:t>
      </w:r>
      <w:r w:rsidRPr="007B1DC1">
        <w:rPr>
          <w:rFonts w:ascii="inherit" w:eastAsia="Times New Roman" w:hAnsi="inherit" w:cs="Arial"/>
          <w:color w:val="292B2C"/>
          <w:sz w:val="24"/>
          <w:szCs w:val="24"/>
          <w:lang w:eastAsia="it-IT"/>
        </w:rPr>
        <w:t>, con riferimento alle quali impostare prassi e conseguenti controlli”.</w:t>
      </w:r>
      <w:r w:rsidRPr="007B1DC1">
        <w:rPr>
          <w:rFonts w:ascii="inherit" w:eastAsia="Times New Roman" w:hAnsi="inherit" w:cs="Arial"/>
          <w:color w:val="292B2C"/>
          <w:sz w:val="24"/>
          <w:szCs w:val="24"/>
          <w:lang w:eastAsia="it-IT"/>
        </w:rPr>
        <w:br/>
        <w:t xml:space="preserve">“Il nuovo Codice – conclude </w:t>
      </w:r>
      <w:proofErr w:type="spellStart"/>
      <w:r w:rsidRPr="007B1DC1">
        <w:rPr>
          <w:rFonts w:ascii="inherit" w:eastAsia="Times New Roman" w:hAnsi="inherit" w:cs="Arial"/>
          <w:color w:val="292B2C"/>
          <w:sz w:val="24"/>
          <w:szCs w:val="24"/>
          <w:lang w:eastAsia="it-IT"/>
        </w:rPr>
        <w:t>Tabò</w:t>
      </w:r>
      <w:proofErr w:type="spellEnd"/>
      <w:r w:rsidRPr="007B1DC1">
        <w:rPr>
          <w:rFonts w:ascii="inherit" w:eastAsia="Times New Roman" w:hAnsi="inherit" w:cs="Arial"/>
          <w:color w:val="292B2C"/>
          <w:sz w:val="24"/>
          <w:szCs w:val="24"/>
          <w:lang w:eastAsia="it-IT"/>
        </w:rPr>
        <w:t xml:space="preserve"> – dà occasione di rivedere tanti aspetti della vita degli enti di Terzo settore: uno di questi riguarda senz’altro le procedure del rimborso </w:t>
      </w:r>
      <w:proofErr w:type="spellStart"/>
      <w:r w:rsidRPr="007B1DC1">
        <w:rPr>
          <w:rFonts w:ascii="inherit" w:eastAsia="Times New Roman" w:hAnsi="inherit" w:cs="Arial"/>
          <w:color w:val="292B2C"/>
          <w:sz w:val="24"/>
          <w:szCs w:val="24"/>
          <w:lang w:eastAsia="it-IT"/>
        </w:rPr>
        <w:t>spese.</w:t>
      </w:r>
      <w:r w:rsidRPr="007B1DC1">
        <w:rPr>
          <w:rFonts w:ascii="inherit" w:eastAsia="Times New Roman" w:hAnsi="inherit" w:cs="Arial"/>
          <w:b/>
          <w:bCs/>
          <w:color w:val="292B2C"/>
          <w:sz w:val="24"/>
          <w:szCs w:val="24"/>
          <w:lang w:eastAsia="it-IT"/>
        </w:rPr>
        <w:t>È</w:t>
      </w:r>
      <w:proofErr w:type="spellEnd"/>
      <w:r w:rsidRPr="007B1DC1">
        <w:rPr>
          <w:rFonts w:ascii="inherit" w:eastAsia="Times New Roman" w:hAnsi="inherit" w:cs="Arial"/>
          <w:b/>
          <w:bCs/>
          <w:color w:val="292B2C"/>
          <w:sz w:val="24"/>
          <w:szCs w:val="24"/>
          <w:lang w:eastAsia="it-IT"/>
        </w:rPr>
        <w:t xml:space="preserve"> una sfida precisa</w:t>
      </w:r>
      <w:r w:rsidRPr="007B1DC1">
        <w:rPr>
          <w:rFonts w:ascii="inherit" w:eastAsia="Times New Roman" w:hAnsi="inherit" w:cs="Arial"/>
          <w:color w:val="292B2C"/>
          <w:sz w:val="24"/>
          <w:szCs w:val="24"/>
          <w:lang w:eastAsia="it-IT"/>
        </w:rPr>
        <w:t>. Importante. Da vincere, esercitando responsabilità individuali, associative, collettive. I Centri di servizio per il volontariato sono pronti a fare la loro parte, a ragione delle funzioni e dei compiti affidati a loro dal Codice del Terzo settore”.</w:t>
      </w:r>
      <w:bookmarkStart w:id="0" w:name="_GoBack"/>
      <w:bookmarkEnd w:id="0"/>
    </w:p>
    <w:sectPr w:rsidR="008E76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C1"/>
    <w:rsid w:val="007B1DC1"/>
    <w:rsid w:val="008E76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F60CB-344E-468A-AE5A-39956EFC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7B1DC1"/>
    <w:pPr>
      <w:spacing w:after="161" w:line="240" w:lineRule="auto"/>
      <w:outlineLvl w:val="0"/>
    </w:pPr>
    <w:rPr>
      <w:rFonts w:ascii="inherit" w:eastAsia="Times New Roman" w:hAnsi="inherit" w:cs="Times New Roman"/>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B1DC1"/>
    <w:rPr>
      <w:rFonts w:ascii="inherit" w:eastAsia="Times New Roman" w:hAnsi="inherit" w:cs="Times New Roman"/>
      <w:kern w:val="36"/>
      <w:sz w:val="48"/>
      <w:szCs w:val="48"/>
      <w:lang w:eastAsia="it-IT"/>
    </w:rPr>
  </w:style>
  <w:style w:type="character" w:styleId="Collegamentoipertestuale">
    <w:name w:val="Hyperlink"/>
    <w:basedOn w:val="Carpredefinitoparagrafo"/>
    <w:uiPriority w:val="99"/>
    <w:semiHidden/>
    <w:unhideWhenUsed/>
    <w:rsid w:val="007B1DC1"/>
    <w:rPr>
      <w:color w:val="0066CC"/>
      <w:u w:val="single"/>
      <w:shd w:val="clear" w:color="auto" w:fill="auto"/>
    </w:rPr>
  </w:style>
  <w:style w:type="character" w:styleId="Enfasigrassetto">
    <w:name w:val="Strong"/>
    <w:basedOn w:val="Carpredefinitoparagrafo"/>
    <w:uiPriority w:val="22"/>
    <w:qFormat/>
    <w:rsid w:val="007B1DC1"/>
    <w:rPr>
      <w:b/>
      <w:bCs/>
    </w:rPr>
  </w:style>
  <w:style w:type="paragraph" w:styleId="NormaleWeb">
    <w:name w:val="Normal (Web)"/>
    <w:basedOn w:val="Normale"/>
    <w:uiPriority w:val="99"/>
    <w:semiHidden/>
    <w:unhideWhenUsed/>
    <w:rsid w:val="007B1DC1"/>
    <w:pPr>
      <w:spacing w:after="100" w:afterAutospacing="1" w:line="240" w:lineRule="auto"/>
    </w:pPr>
    <w:rPr>
      <w:rFonts w:ascii="inherit" w:eastAsia="Times New Roman" w:hAnsi="inherit" w:cs="Times New Roman"/>
      <w:sz w:val="24"/>
      <w:szCs w:val="24"/>
      <w:lang w:eastAsia="it-IT"/>
    </w:rPr>
  </w:style>
  <w:style w:type="paragraph" w:customStyle="1" w:styleId="news-info">
    <w:name w:val="news-info"/>
    <w:basedOn w:val="Normale"/>
    <w:rsid w:val="007B1DC1"/>
    <w:pPr>
      <w:spacing w:after="0" w:line="240" w:lineRule="auto"/>
    </w:pPr>
    <w:rPr>
      <w:rFonts w:ascii="inherit" w:eastAsia="Times New Roman" w:hAnsi="inherit" w:cs="Times New Roman"/>
      <w:color w:val="6C6C6C"/>
      <w:sz w:val="24"/>
      <w:szCs w:val="24"/>
      <w:lang w:eastAsia="it-IT"/>
    </w:rPr>
  </w:style>
  <w:style w:type="character" w:styleId="Enfasicorsivo">
    <w:name w:val="Emphasis"/>
    <w:basedOn w:val="Carpredefinitoparagrafo"/>
    <w:uiPriority w:val="20"/>
    <w:qFormat/>
    <w:rsid w:val="007B1D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697764">
      <w:bodyDiv w:val="1"/>
      <w:marLeft w:val="0"/>
      <w:marRight w:val="0"/>
      <w:marTop w:val="0"/>
      <w:marBottom w:val="0"/>
      <w:divBdr>
        <w:top w:val="none" w:sz="0" w:space="0" w:color="auto"/>
        <w:left w:val="none" w:sz="0" w:space="0" w:color="auto"/>
        <w:bottom w:val="none" w:sz="0" w:space="0" w:color="auto"/>
        <w:right w:val="none" w:sz="0" w:space="0" w:color="auto"/>
      </w:divBdr>
      <w:divsChild>
        <w:div w:id="302734475">
          <w:marLeft w:val="-225"/>
          <w:marRight w:val="-225"/>
          <w:marTop w:val="0"/>
          <w:marBottom w:val="0"/>
          <w:divBdr>
            <w:top w:val="none" w:sz="0" w:space="0" w:color="auto"/>
            <w:left w:val="none" w:sz="0" w:space="0" w:color="auto"/>
            <w:bottom w:val="none" w:sz="0" w:space="0" w:color="auto"/>
            <w:right w:val="none" w:sz="0" w:space="0" w:color="auto"/>
          </w:divBdr>
          <w:divsChild>
            <w:div w:id="1507360627">
              <w:marLeft w:val="0"/>
              <w:marRight w:val="0"/>
              <w:marTop w:val="0"/>
              <w:marBottom w:val="0"/>
              <w:divBdr>
                <w:top w:val="none" w:sz="0" w:space="0" w:color="auto"/>
                <w:left w:val="none" w:sz="0" w:space="0" w:color="auto"/>
                <w:bottom w:val="none" w:sz="0" w:space="0" w:color="auto"/>
                <w:right w:val="none" w:sz="0" w:space="0" w:color="auto"/>
              </w:divBdr>
              <w:divsChild>
                <w:div w:id="28068067">
                  <w:marLeft w:val="0"/>
                  <w:marRight w:val="0"/>
                  <w:marTop w:val="0"/>
                  <w:marBottom w:val="0"/>
                  <w:divBdr>
                    <w:top w:val="none" w:sz="0" w:space="0" w:color="auto"/>
                    <w:left w:val="none" w:sz="0" w:space="0" w:color="auto"/>
                    <w:bottom w:val="none" w:sz="0" w:space="0" w:color="auto"/>
                    <w:right w:val="none" w:sz="0" w:space="0" w:color="auto"/>
                  </w:divBdr>
                  <w:divsChild>
                    <w:div w:id="16259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pubblica.it/solidarieta/volontariato/2017/08/21/news/volontari_i_rimborsi_spese_senza_scontrini_una_retribuzione_mascherata_-173532547/" TargetMode="External"/><Relationship Id="rId4" Type="http://schemas.openxmlformats.org/officeDocument/2006/relationships/hyperlink" Target="http://www.csvnet.it/notizie/le-notizie/notiziecsvnet/2497-il-codice-del-terzo-settore-e-legge-cosa-cambia-con-il-grande-riordi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3523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Bussolino</dc:creator>
  <cp:keywords/>
  <dc:description/>
  <cp:lastModifiedBy>Enrico Bussolino</cp:lastModifiedBy>
  <cp:revision>1</cp:revision>
  <dcterms:created xsi:type="dcterms:W3CDTF">2019-07-22T12:30:00Z</dcterms:created>
  <dcterms:modified xsi:type="dcterms:W3CDTF">2019-07-22T12:31:00Z</dcterms:modified>
</cp:coreProperties>
</file>