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4" w:rsidRPr="00ED4D94" w:rsidRDefault="00ED4D94" w:rsidP="00ED4D94">
      <w:pPr>
        <w:spacing w:after="161" w:line="240" w:lineRule="auto"/>
        <w:outlineLvl w:val="0"/>
        <w:rPr>
          <w:rFonts w:ascii="inherit" w:eastAsia="Times New Roman" w:hAnsi="inherit" w:cs="Arial"/>
          <w:color w:val="292B2C"/>
          <w:kern w:val="36"/>
          <w:sz w:val="48"/>
          <w:szCs w:val="48"/>
          <w:lang w:eastAsia="it-IT"/>
        </w:rPr>
      </w:pPr>
      <w:r w:rsidRPr="00ED4D94">
        <w:rPr>
          <w:rFonts w:ascii="inherit" w:eastAsia="Times New Roman" w:hAnsi="inherit" w:cs="Arial"/>
          <w:color w:val="292B2C"/>
          <w:kern w:val="36"/>
          <w:sz w:val="48"/>
          <w:szCs w:val="48"/>
          <w:lang w:eastAsia="it-IT"/>
        </w:rPr>
        <w:t xml:space="preserve">Statuti e registro unico: nessuna via preferenziale per le </w:t>
      </w:r>
      <w:proofErr w:type="spellStart"/>
      <w:r w:rsidRPr="00ED4D94">
        <w:rPr>
          <w:rFonts w:ascii="inherit" w:eastAsia="Times New Roman" w:hAnsi="inherit" w:cs="Arial"/>
          <w:color w:val="292B2C"/>
          <w:kern w:val="36"/>
          <w:sz w:val="48"/>
          <w:szCs w:val="48"/>
          <w:lang w:eastAsia="it-IT"/>
        </w:rPr>
        <w:t>Ong</w:t>
      </w:r>
      <w:proofErr w:type="spellEnd"/>
      <w:r w:rsidRPr="00ED4D94">
        <w:rPr>
          <w:rFonts w:ascii="inherit" w:eastAsia="Times New Roman" w:hAnsi="inherit" w:cs="Arial"/>
          <w:color w:val="292B2C"/>
          <w:kern w:val="36"/>
          <w:sz w:val="48"/>
          <w:szCs w:val="48"/>
          <w:lang w:eastAsia="it-IT"/>
        </w:rPr>
        <w:t xml:space="preserve"> </w:t>
      </w:r>
    </w:p>
    <w:p w:rsidR="00ED4D94" w:rsidRPr="00ED4D94" w:rsidRDefault="00ED4D94" w:rsidP="00ED4D94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ED4D94">
        <w:rPr>
          <w:rFonts w:ascii="inherit" w:eastAsia="Times New Roman" w:hAnsi="inherit" w:cs="Arial"/>
          <w:i/>
          <w:iCs/>
          <w:color w:val="292B2C"/>
          <w:sz w:val="24"/>
          <w:szCs w:val="24"/>
          <w:lang w:eastAsia="it-IT"/>
        </w:rPr>
        <w:t xml:space="preserve">Chiarito in una nota ministeriale l’iter per adeguare gli statuti e iscriversi al </w:t>
      </w:r>
      <w:proofErr w:type="spellStart"/>
      <w:r w:rsidRPr="00ED4D94">
        <w:rPr>
          <w:rFonts w:ascii="inherit" w:eastAsia="Times New Roman" w:hAnsi="inherit" w:cs="Arial"/>
          <w:i/>
          <w:iCs/>
          <w:color w:val="292B2C"/>
          <w:sz w:val="24"/>
          <w:szCs w:val="24"/>
          <w:lang w:eastAsia="it-IT"/>
        </w:rPr>
        <w:t>Runts</w:t>
      </w:r>
      <w:proofErr w:type="spellEnd"/>
      <w:r w:rsidRPr="00ED4D94">
        <w:rPr>
          <w:rFonts w:ascii="inherit" w:eastAsia="Times New Roman" w:hAnsi="inherit" w:cs="Arial"/>
          <w:i/>
          <w:iCs/>
          <w:color w:val="292B2C"/>
          <w:sz w:val="24"/>
          <w:szCs w:val="24"/>
          <w:lang w:eastAsia="it-IT"/>
        </w:rPr>
        <w:t xml:space="preserve"> per le organizzazioni non governative. Solo se </w:t>
      </w:r>
      <w:proofErr w:type="spellStart"/>
      <w:r w:rsidRPr="00ED4D94">
        <w:rPr>
          <w:rFonts w:ascii="inherit" w:eastAsia="Times New Roman" w:hAnsi="inherit" w:cs="Arial"/>
          <w:i/>
          <w:iCs/>
          <w:color w:val="292B2C"/>
          <w:sz w:val="24"/>
          <w:szCs w:val="24"/>
          <w:lang w:eastAsia="it-IT"/>
        </w:rPr>
        <w:t>Odv</w:t>
      </w:r>
      <w:proofErr w:type="spellEnd"/>
      <w:r w:rsidRPr="00ED4D94">
        <w:rPr>
          <w:rFonts w:ascii="inherit" w:eastAsia="Times New Roman" w:hAnsi="inherit" w:cs="Arial"/>
          <w:i/>
          <w:iCs/>
          <w:color w:val="292B2C"/>
          <w:sz w:val="24"/>
          <w:szCs w:val="24"/>
          <w:lang w:eastAsia="it-IT"/>
        </w:rPr>
        <w:t xml:space="preserve"> e </w:t>
      </w:r>
      <w:proofErr w:type="spellStart"/>
      <w:r w:rsidRPr="00ED4D94">
        <w:rPr>
          <w:rFonts w:ascii="inherit" w:eastAsia="Times New Roman" w:hAnsi="inherit" w:cs="Arial"/>
          <w:i/>
          <w:iCs/>
          <w:color w:val="292B2C"/>
          <w:sz w:val="24"/>
          <w:szCs w:val="24"/>
          <w:lang w:eastAsia="it-IT"/>
        </w:rPr>
        <w:t>Aps</w:t>
      </w:r>
      <w:proofErr w:type="spellEnd"/>
      <w:r w:rsidRPr="00ED4D94">
        <w:rPr>
          <w:rFonts w:ascii="inherit" w:eastAsia="Times New Roman" w:hAnsi="inherit" w:cs="Arial"/>
          <w:i/>
          <w:iCs/>
          <w:color w:val="292B2C"/>
          <w:sz w:val="24"/>
          <w:szCs w:val="24"/>
          <w:lang w:eastAsia="it-IT"/>
        </w:rPr>
        <w:t xml:space="preserve"> potranno avvalersi del regime agevolato, in tutti gli altri casi dovranno seguire l’iter completo</w:t>
      </w:r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 </w:t>
      </w:r>
    </w:p>
    <w:p w:rsidR="00ED4D94" w:rsidRPr="00ED4D94" w:rsidRDefault="00ED4D94" w:rsidP="00ED4D94">
      <w:pPr>
        <w:spacing w:after="0" w:line="240" w:lineRule="auto"/>
        <w:rPr>
          <w:rFonts w:ascii="inherit" w:eastAsia="Times New Roman" w:hAnsi="inherit" w:cs="Arial"/>
          <w:color w:val="6C6C6C"/>
          <w:sz w:val="24"/>
          <w:szCs w:val="24"/>
          <w:lang w:eastAsia="it-IT"/>
        </w:rPr>
      </w:pPr>
      <w:r w:rsidRPr="00ED4D94">
        <w:rPr>
          <w:rFonts w:ascii="inherit" w:eastAsia="Times New Roman" w:hAnsi="inherit" w:cs="Arial"/>
          <w:color w:val="6C6C6C"/>
          <w:sz w:val="24"/>
          <w:szCs w:val="24"/>
          <w:lang w:eastAsia="it-IT"/>
        </w:rPr>
        <w:t xml:space="preserve">di </w:t>
      </w:r>
      <w:r w:rsidRPr="00ED4D94">
        <w:rPr>
          <w:rFonts w:ascii="inherit" w:eastAsia="Times New Roman" w:hAnsi="inherit" w:cs="Arial"/>
          <w:b/>
          <w:bCs/>
          <w:color w:val="6C6C6C"/>
          <w:sz w:val="24"/>
          <w:szCs w:val="24"/>
          <w:lang w:eastAsia="it-IT"/>
        </w:rPr>
        <w:t>Lara Esposito</w:t>
      </w:r>
      <w:r w:rsidRPr="00ED4D94">
        <w:rPr>
          <w:rFonts w:ascii="inherit" w:eastAsia="Times New Roman" w:hAnsi="inherit" w:cs="Arial"/>
          <w:color w:val="6C6C6C"/>
          <w:sz w:val="24"/>
          <w:szCs w:val="24"/>
          <w:lang w:eastAsia="it-IT"/>
        </w:rPr>
        <w:t xml:space="preserve"> </w:t>
      </w:r>
    </w:p>
    <w:p w:rsidR="00ED4D94" w:rsidRPr="00ED4D94" w:rsidRDefault="00ED4D94" w:rsidP="00ED4D94">
      <w:pPr>
        <w:spacing w:after="0" w:line="240" w:lineRule="auto"/>
        <w:rPr>
          <w:rFonts w:ascii="inherit" w:eastAsia="Times New Roman" w:hAnsi="inherit" w:cs="Arial"/>
          <w:color w:val="6C6C6C"/>
          <w:sz w:val="24"/>
          <w:szCs w:val="24"/>
          <w:lang w:eastAsia="it-IT"/>
        </w:rPr>
      </w:pPr>
      <w:r w:rsidRPr="00ED4D94">
        <w:rPr>
          <w:rFonts w:ascii="inherit" w:eastAsia="Times New Roman" w:hAnsi="inherit" w:cs="Arial"/>
          <w:color w:val="6C6C6C"/>
          <w:sz w:val="24"/>
          <w:szCs w:val="24"/>
          <w:lang w:eastAsia="it-IT"/>
        </w:rPr>
        <w:t xml:space="preserve">31 Maggio 2019 </w:t>
      </w:r>
    </w:p>
    <w:p w:rsidR="00ED4D94" w:rsidRPr="00ED4D94" w:rsidRDefault="00ED4D94" w:rsidP="00ED4D94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Non ci sono più dubbi: anche le organizzazioni non governative (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Ogn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) dovranno adeguare il proprio statuto per diventare </w:t>
      </w:r>
      <w:hyperlink r:id="rId4" w:history="1"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ente di terzo settore (</w:t>
        </w:r>
        <w:proofErr w:type="spellStart"/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Ets</w:t>
        </w:r>
        <w:proofErr w:type="spellEnd"/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)</w:t>
        </w:r>
      </w:hyperlink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. Il chiarimento arriva con una </w:t>
      </w:r>
      <w:hyperlink r:id="rId5" w:history="1">
        <w:r w:rsidRPr="00ED4D94">
          <w:rPr>
            <w:rFonts w:ascii="inherit" w:eastAsia="Times New Roman" w:hAnsi="inherit" w:cs="Arial"/>
            <w:b/>
            <w:bCs/>
            <w:color w:val="0066CC"/>
            <w:sz w:val="24"/>
            <w:szCs w:val="24"/>
            <w:u w:val="single"/>
            <w:lang w:eastAsia="it-IT"/>
          </w:rPr>
          <w:t>nota ministeriale del 22 maggio 2019</w:t>
        </w:r>
      </w:hyperlink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in risposta al quesito avanzato da tre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Ong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in cui si chiedeva se la sola iscrizione al registro delle Onlus potesse rappresentare un canale preferenziale di accesso al </w:t>
      </w:r>
      <w:hyperlink r:id="rId6" w:history="1"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registro unico nazionale del terzo settore (</w:t>
        </w:r>
        <w:proofErr w:type="spellStart"/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Runts</w:t>
        </w:r>
        <w:proofErr w:type="spellEnd"/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)</w:t>
        </w:r>
      </w:hyperlink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. Non è così, come non lo è per </w:t>
      </w:r>
      <w:hyperlink r:id="rId7" w:history="1"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organizzazioni di volontariato (</w:t>
        </w:r>
        <w:proofErr w:type="spellStart"/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Odv</w:t>
        </w:r>
        <w:proofErr w:type="spellEnd"/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)</w:t>
        </w:r>
      </w:hyperlink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, le </w:t>
      </w:r>
      <w:hyperlink r:id="rId8" w:history="1"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associazioni di promozione sociale (</w:t>
        </w:r>
        <w:proofErr w:type="spellStart"/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Aps</w:t>
        </w:r>
        <w:proofErr w:type="spellEnd"/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)</w:t>
        </w:r>
      </w:hyperlink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 e Onlus che dovranno adeguarsi ai nuovi adempimenti e che potranno farlo, utilizzando forme semplificate, entro il 2 agosto 2019. Per le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Ong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, inoltre, l’iscrizione al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Runts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non sarà automatica, ma potrà avvenire solo se richiesta.</w:t>
      </w:r>
    </w:p>
    <w:p w:rsidR="00ED4D94" w:rsidRPr="00ED4D94" w:rsidRDefault="00ED4D94" w:rsidP="00ED4D94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Diverse le motivazioni che hanno portato a questa precisazione a firma del direttore generale Alessandro Lombardi. Innanzitutto, l’eterogeneità delle forme organizzative delle organizzazioni non governative, che impedirebbe di individuare in modo automatico la sezione del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Runts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a cui iscriversi. In secondo luogo, la nota precisa che un’iscrizione diretta e senza adeguamento statutario, renderebbe le stesse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Ong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una categoria di favore rispetto alle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Odv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e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Aps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, considerate dal legislatore quelle meritevoli di maggiore tutela. Infine, la difficoltà di far riferimento al un precedente contesto normativo uniforme. Secondo la legge n. 125 del 2014, infatti, le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Ong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erano Onlus di diritto ma con il codice del terzo settore, la qualifica di ente del terzo settore non è mai automatica, ma dipende dall’iscrizione al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Runts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e dal possesso di </w:t>
      </w:r>
      <w:hyperlink r:id="rId9" w:history="1">
        <w:r w:rsidRPr="00ED4D94">
          <w:rPr>
            <w:rFonts w:ascii="inherit" w:eastAsia="Times New Roman" w:hAnsi="inherit" w:cs="Arial"/>
            <w:color w:val="0066CC"/>
            <w:sz w:val="24"/>
            <w:szCs w:val="24"/>
            <w:u w:val="single"/>
            <w:lang w:eastAsia="it-IT"/>
          </w:rPr>
          <w:t>specifici requisiti statutari</w:t>
        </w:r>
      </w:hyperlink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.</w:t>
      </w:r>
    </w:p>
    <w:p w:rsidR="00ED4D94" w:rsidRPr="00ED4D94" w:rsidRDefault="00ED4D94" w:rsidP="00ED4D94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In definitiva, quindi, se una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Ong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è già in possesso della qualifica di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Odv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,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Aps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o Onlus, potrà usufruire di un regime alleggerito per adeguare i propri statuti. Le organizzazioni che non hanno questa qualifica, invece, in questo periodo transitorio non possono essere considerate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Ets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e, di conseguenza, dovranno adeguare i propri statuti secondo le regole comuni.</w:t>
      </w:r>
    </w:p>
    <w:p w:rsidR="00ED4D94" w:rsidRPr="00ED4D94" w:rsidRDefault="00ED4D94" w:rsidP="00ED4D94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Quando sarà attivo il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Runts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, solo le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Ong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che sono già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Odv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o </w:t>
      </w:r>
      <w:proofErr w:type="spellStart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Aps</w:t>
      </w:r>
      <w:proofErr w:type="spellEnd"/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– e che quindi hanno adeguato gli statuti – entreranno per direttissima nel nuovo registro; quelle classificabili come Onlus e le restanti senza qualifica, invece, dovranno iscriversi seguendo le indicazioni previste da un apposito decreto in fase di elaborazione.</w:t>
      </w:r>
    </w:p>
    <w:p w:rsidR="00ED4D94" w:rsidRPr="00ED4D94" w:rsidRDefault="00ED4D94" w:rsidP="00ED4D94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ED4D94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Fonte: </w:t>
      </w:r>
      <w:hyperlink r:id="rId10" w:tgtFrame="_blank" w:history="1">
        <w:r w:rsidRPr="00ED4D94">
          <w:rPr>
            <w:rFonts w:ascii="inherit" w:eastAsia="Times New Roman" w:hAnsi="inherit" w:cs="Arial"/>
            <w:color w:val="339966"/>
            <w:sz w:val="24"/>
            <w:szCs w:val="24"/>
            <w:u w:val="single"/>
            <w:lang w:eastAsia="it-IT"/>
          </w:rPr>
          <w:t>Cantiere terzo settore</w:t>
        </w:r>
      </w:hyperlink>
    </w:p>
    <w:p w:rsidR="00B87B34" w:rsidRDefault="00B87B34">
      <w:bookmarkStart w:id="0" w:name="_GoBack"/>
      <w:bookmarkEnd w:id="0"/>
    </w:p>
    <w:sectPr w:rsidR="00B87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4"/>
    <w:rsid w:val="00B87B34"/>
    <w:rsid w:val="00E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1E58-97E3-499A-9FEA-451C2D46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D4D94"/>
    <w:pPr>
      <w:spacing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4D94"/>
    <w:rPr>
      <w:rFonts w:ascii="inherit" w:eastAsia="Times New Roman" w:hAnsi="inherit" w:cs="Times New Roman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4D94"/>
    <w:rPr>
      <w:color w:val="0066CC"/>
      <w:u w:val="singl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ED4D9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D4D94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paragraph" w:customStyle="1" w:styleId="news-info">
    <w:name w:val="news-info"/>
    <w:basedOn w:val="Normale"/>
    <w:rsid w:val="00ED4D94"/>
    <w:pPr>
      <w:spacing w:after="0" w:line="240" w:lineRule="auto"/>
    </w:pPr>
    <w:rPr>
      <w:rFonts w:ascii="inherit" w:eastAsia="Times New Roman" w:hAnsi="inherit" w:cs="Times New Roman"/>
      <w:color w:val="6C6C6C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D4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6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vnet.it/component/content/article?id=20:&amp;catid=31&amp;Itemid=8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svnet.it/component/content/article?id=19:la-comunicazione-al-centro&amp;catid=31&amp;Itemid=8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vnet.it/component/content/article?id=33:&amp;catid=31&amp;Itemid=8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ntiereterzosettore.it/images/phocadownload/normativa/Nota-prot-4787-del-22052019-relativa-alle-ONG.pdf" TargetMode="External"/><Relationship Id="rId10" Type="http://schemas.openxmlformats.org/officeDocument/2006/relationships/hyperlink" Target="http://www.cantiereterzosettore.it/" TargetMode="External"/><Relationship Id="rId4" Type="http://schemas.openxmlformats.org/officeDocument/2006/relationships/hyperlink" Target="https://www.csvnet.it/component/content/article?id=16:a-scuola-di-cittadinanza-e-costituzione&amp;catid=31&amp;Itemid=893" TargetMode="External"/><Relationship Id="rId9" Type="http://schemas.openxmlformats.org/officeDocument/2006/relationships/hyperlink" Target="https://www.csvnet.it/component/content/article?id=112:l-europa-sostenga-l-energia-del-volontariato&amp;catid=9&amp;Itemid=89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Bussolino</dc:creator>
  <cp:keywords/>
  <dc:description/>
  <cp:lastModifiedBy>Enrico Bussolino</cp:lastModifiedBy>
  <cp:revision>1</cp:revision>
  <dcterms:created xsi:type="dcterms:W3CDTF">2019-07-22T12:14:00Z</dcterms:created>
  <dcterms:modified xsi:type="dcterms:W3CDTF">2019-07-22T12:16:00Z</dcterms:modified>
</cp:coreProperties>
</file>