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7B" w:rsidRPr="00B85C7B" w:rsidRDefault="00B85C7B" w:rsidP="00B85C7B">
      <w:pPr>
        <w:spacing w:after="161" w:line="240" w:lineRule="auto"/>
        <w:outlineLvl w:val="0"/>
        <w:rPr>
          <w:rFonts w:ascii="inherit" w:eastAsia="Times New Roman" w:hAnsi="inherit" w:cs="Arial"/>
          <w:color w:val="292B2C"/>
          <w:kern w:val="36"/>
          <w:sz w:val="48"/>
          <w:szCs w:val="48"/>
          <w:lang w:eastAsia="it-IT"/>
        </w:rPr>
      </w:pPr>
      <w:r w:rsidRPr="00B85C7B">
        <w:rPr>
          <w:rFonts w:ascii="inherit" w:eastAsia="Times New Roman" w:hAnsi="inherit" w:cs="Arial"/>
          <w:color w:val="292B2C"/>
          <w:kern w:val="36"/>
          <w:sz w:val="48"/>
          <w:szCs w:val="48"/>
          <w:lang w:eastAsia="it-IT"/>
        </w:rPr>
        <w:t xml:space="preserve">Associazioni sportive dilettantistiche: perché diventare ente del terzo settore? </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i/>
          <w:iCs/>
          <w:color w:val="292B2C"/>
          <w:sz w:val="24"/>
          <w:szCs w:val="24"/>
          <w:lang w:eastAsia="it-IT"/>
        </w:rPr>
        <w:t xml:space="preserve">Le </w:t>
      </w:r>
      <w:proofErr w:type="spellStart"/>
      <w:r w:rsidRPr="00B85C7B">
        <w:rPr>
          <w:rFonts w:ascii="inherit" w:eastAsia="Times New Roman" w:hAnsi="inherit" w:cs="Arial"/>
          <w:i/>
          <w:iCs/>
          <w:color w:val="292B2C"/>
          <w:sz w:val="24"/>
          <w:szCs w:val="24"/>
          <w:lang w:eastAsia="it-IT"/>
        </w:rPr>
        <w:t>Asd</w:t>
      </w:r>
      <w:proofErr w:type="spellEnd"/>
      <w:r w:rsidRPr="00B85C7B">
        <w:rPr>
          <w:rFonts w:ascii="inherit" w:eastAsia="Times New Roman" w:hAnsi="inherit" w:cs="Arial"/>
          <w:i/>
          <w:iCs/>
          <w:color w:val="292B2C"/>
          <w:sz w:val="24"/>
          <w:szCs w:val="24"/>
          <w:lang w:eastAsia="it-IT"/>
        </w:rPr>
        <w:t xml:space="preserve"> dovranno scegliere se entrare o meno nel registro unico, ramo promozione sociale. Ma potrebbero anche voler assumere la qualifica di imprese sociali. I pro e i contro l’assunzione della doppia qualifica di </w:t>
      </w:r>
      <w:proofErr w:type="spellStart"/>
      <w:r w:rsidRPr="00B85C7B">
        <w:rPr>
          <w:rFonts w:ascii="inherit" w:eastAsia="Times New Roman" w:hAnsi="inherit" w:cs="Arial"/>
          <w:i/>
          <w:iCs/>
          <w:color w:val="292B2C"/>
          <w:sz w:val="24"/>
          <w:szCs w:val="24"/>
          <w:lang w:eastAsia="it-IT"/>
        </w:rPr>
        <w:t>Asd</w:t>
      </w:r>
      <w:proofErr w:type="spellEnd"/>
      <w:r w:rsidRPr="00B85C7B">
        <w:rPr>
          <w:rFonts w:ascii="inherit" w:eastAsia="Times New Roman" w:hAnsi="inherit" w:cs="Arial"/>
          <w:i/>
          <w:iCs/>
          <w:color w:val="292B2C"/>
          <w:sz w:val="24"/>
          <w:szCs w:val="24"/>
          <w:lang w:eastAsia="it-IT"/>
        </w:rPr>
        <w:t xml:space="preserve"> e </w:t>
      </w:r>
      <w:proofErr w:type="spellStart"/>
      <w:r w:rsidRPr="00B85C7B">
        <w:rPr>
          <w:rFonts w:ascii="inherit" w:eastAsia="Times New Roman" w:hAnsi="inherit" w:cs="Arial"/>
          <w:i/>
          <w:iCs/>
          <w:color w:val="292B2C"/>
          <w:sz w:val="24"/>
          <w:szCs w:val="24"/>
          <w:lang w:eastAsia="it-IT"/>
        </w:rPr>
        <w:t>Aps</w:t>
      </w:r>
      <w:proofErr w:type="spellEnd"/>
      <w:r w:rsidRPr="00B85C7B">
        <w:rPr>
          <w:rFonts w:ascii="inherit" w:eastAsia="Times New Roman" w:hAnsi="inherit" w:cs="Arial"/>
          <w:i/>
          <w:iCs/>
          <w:color w:val="292B2C"/>
          <w:sz w:val="24"/>
          <w:szCs w:val="24"/>
          <w:lang w:eastAsia="it-IT"/>
        </w:rPr>
        <w:t>. Interessate oltre 100 mila organizzazioni</w:t>
      </w:r>
      <w:r w:rsidRPr="00B85C7B">
        <w:rPr>
          <w:rFonts w:ascii="inherit" w:eastAsia="Times New Roman" w:hAnsi="inherit" w:cs="Arial"/>
          <w:color w:val="292B2C"/>
          <w:sz w:val="24"/>
          <w:szCs w:val="24"/>
          <w:lang w:eastAsia="it-IT"/>
        </w:rPr>
        <w:t> </w:t>
      </w:r>
    </w:p>
    <w:p w:rsidR="00B85C7B" w:rsidRPr="00B85C7B" w:rsidRDefault="00B85C7B" w:rsidP="00B85C7B">
      <w:pPr>
        <w:spacing w:after="0" w:line="240" w:lineRule="auto"/>
        <w:rPr>
          <w:rFonts w:ascii="inherit" w:eastAsia="Times New Roman" w:hAnsi="inherit" w:cs="Arial"/>
          <w:color w:val="6C6C6C"/>
          <w:sz w:val="24"/>
          <w:szCs w:val="24"/>
          <w:lang w:eastAsia="it-IT"/>
        </w:rPr>
      </w:pPr>
      <w:r w:rsidRPr="00B85C7B">
        <w:rPr>
          <w:rFonts w:ascii="inherit" w:eastAsia="Times New Roman" w:hAnsi="inherit" w:cs="Arial"/>
          <w:color w:val="6C6C6C"/>
          <w:sz w:val="24"/>
          <w:szCs w:val="24"/>
          <w:lang w:eastAsia="it-IT"/>
        </w:rPr>
        <w:t xml:space="preserve">di </w:t>
      </w:r>
      <w:r w:rsidRPr="00B85C7B">
        <w:rPr>
          <w:rFonts w:ascii="inherit" w:eastAsia="Times New Roman" w:hAnsi="inherit" w:cs="Arial"/>
          <w:b/>
          <w:bCs/>
          <w:color w:val="6C6C6C"/>
          <w:sz w:val="24"/>
          <w:szCs w:val="24"/>
          <w:lang w:eastAsia="it-IT"/>
        </w:rPr>
        <w:t xml:space="preserve">Francesca </w:t>
      </w:r>
      <w:proofErr w:type="spellStart"/>
      <w:r w:rsidRPr="00B85C7B">
        <w:rPr>
          <w:rFonts w:ascii="inherit" w:eastAsia="Times New Roman" w:hAnsi="inherit" w:cs="Arial"/>
          <w:b/>
          <w:bCs/>
          <w:color w:val="6C6C6C"/>
          <w:sz w:val="24"/>
          <w:szCs w:val="24"/>
          <w:lang w:eastAsia="it-IT"/>
        </w:rPr>
        <w:t>Colecchia</w:t>
      </w:r>
      <w:proofErr w:type="spellEnd"/>
      <w:r w:rsidRPr="00B85C7B">
        <w:rPr>
          <w:rFonts w:ascii="inherit" w:eastAsia="Times New Roman" w:hAnsi="inherit" w:cs="Arial"/>
          <w:b/>
          <w:bCs/>
          <w:color w:val="6C6C6C"/>
          <w:sz w:val="24"/>
          <w:szCs w:val="24"/>
          <w:lang w:eastAsia="it-IT"/>
        </w:rPr>
        <w:t xml:space="preserve"> - </w:t>
      </w:r>
      <w:proofErr w:type="spellStart"/>
      <w:r w:rsidRPr="00B85C7B">
        <w:rPr>
          <w:rFonts w:ascii="inherit" w:eastAsia="Times New Roman" w:hAnsi="inherit" w:cs="Arial"/>
          <w:b/>
          <w:bCs/>
          <w:color w:val="6C6C6C"/>
          <w:sz w:val="24"/>
          <w:szCs w:val="24"/>
          <w:lang w:eastAsia="it-IT"/>
        </w:rPr>
        <w:t>Arsea</w:t>
      </w:r>
      <w:proofErr w:type="spellEnd"/>
      <w:r w:rsidRPr="00B85C7B">
        <w:rPr>
          <w:rFonts w:ascii="inherit" w:eastAsia="Times New Roman" w:hAnsi="inherit" w:cs="Arial"/>
          <w:b/>
          <w:bCs/>
          <w:color w:val="6C6C6C"/>
          <w:sz w:val="24"/>
          <w:szCs w:val="24"/>
          <w:lang w:eastAsia="it-IT"/>
        </w:rPr>
        <w:t xml:space="preserve"> srl</w:t>
      </w:r>
      <w:r w:rsidRPr="00B85C7B">
        <w:rPr>
          <w:rFonts w:ascii="inherit" w:eastAsia="Times New Roman" w:hAnsi="inherit" w:cs="Arial"/>
          <w:color w:val="6C6C6C"/>
          <w:sz w:val="24"/>
          <w:szCs w:val="24"/>
          <w:lang w:eastAsia="it-IT"/>
        </w:rPr>
        <w:t xml:space="preserve"> </w:t>
      </w:r>
    </w:p>
    <w:p w:rsidR="00B85C7B" w:rsidRPr="00B85C7B" w:rsidRDefault="00B85C7B" w:rsidP="00B85C7B">
      <w:pPr>
        <w:spacing w:after="0" w:line="240" w:lineRule="auto"/>
        <w:rPr>
          <w:rFonts w:ascii="inherit" w:eastAsia="Times New Roman" w:hAnsi="inherit" w:cs="Arial"/>
          <w:color w:val="6C6C6C"/>
          <w:sz w:val="24"/>
          <w:szCs w:val="24"/>
          <w:lang w:eastAsia="it-IT"/>
        </w:rPr>
      </w:pPr>
      <w:r w:rsidRPr="00B85C7B">
        <w:rPr>
          <w:rFonts w:ascii="inherit" w:eastAsia="Times New Roman" w:hAnsi="inherit" w:cs="Arial"/>
          <w:color w:val="6C6C6C"/>
          <w:sz w:val="24"/>
          <w:szCs w:val="24"/>
          <w:lang w:eastAsia="it-IT"/>
        </w:rPr>
        <w:t xml:space="preserve">11 Luglio 2019 </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Da tempo si discute in merito alla </w:t>
      </w:r>
      <w:r w:rsidRPr="00B85C7B">
        <w:rPr>
          <w:rFonts w:ascii="inherit" w:eastAsia="Times New Roman" w:hAnsi="inherit" w:cs="Arial"/>
          <w:b/>
          <w:bCs/>
          <w:color w:val="292B2C"/>
          <w:sz w:val="24"/>
          <w:szCs w:val="24"/>
          <w:lang w:eastAsia="it-IT"/>
        </w:rPr>
        <w:t>possibilità per un’associazione che promuove attività sportiva dilettantistica di qualificarsi come </w:t>
      </w:r>
      <w:hyperlink r:id="rId5" w:history="1">
        <w:r w:rsidRPr="00B85C7B">
          <w:rPr>
            <w:rFonts w:ascii="inherit" w:eastAsia="Times New Roman" w:hAnsi="inherit" w:cs="Arial"/>
            <w:color w:val="0066CC"/>
            <w:sz w:val="24"/>
            <w:szCs w:val="24"/>
            <w:u w:val="single"/>
            <w:lang w:eastAsia="it-IT"/>
          </w:rPr>
          <w:t>ente del terzo settore (</w:t>
        </w:r>
        <w:proofErr w:type="spellStart"/>
        <w:r w:rsidRPr="00B85C7B">
          <w:rPr>
            <w:rFonts w:ascii="inherit" w:eastAsia="Times New Roman" w:hAnsi="inherit" w:cs="Arial"/>
            <w:color w:val="0066CC"/>
            <w:sz w:val="24"/>
            <w:szCs w:val="24"/>
            <w:u w:val="single"/>
            <w:lang w:eastAsia="it-IT"/>
          </w:rPr>
          <w:t>Ets</w:t>
        </w:r>
        <w:proofErr w:type="spellEnd"/>
        <w:r w:rsidRPr="00B85C7B">
          <w:rPr>
            <w:rFonts w:ascii="inherit" w:eastAsia="Times New Roman" w:hAnsi="inherit" w:cs="Arial"/>
            <w:color w:val="0066CC"/>
            <w:sz w:val="24"/>
            <w:szCs w:val="24"/>
            <w:u w:val="single"/>
            <w:lang w:eastAsia="it-IT"/>
          </w:rPr>
          <w:t>)</w:t>
        </w:r>
      </w:hyperlink>
      <w:r w:rsidRPr="00B85C7B">
        <w:rPr>
          <w:rFonts w:ascii="inherit" w:eastAsia="Times New Roman" w:hAnsi="inherit" w:cs="Arial"/>
          <w:color w:val="292B2C"/>
          <w:sz w:val="24"/>
          <w:szCs w:val="24"/>
          <w:lang w:eastAsia="it-IT"/>
        </w:rPr>
        <w:t> e sull’opportunità, per la stessa, di assumere la doppia veste di associazione sportiva dilettantistica (</w:t>
      </w:r>
      <w:proofErr w:type="spellStart"/>
      <w:r w:rsidRPr="00B85C7B">
        <w:rPr>
          <w:rFonts w:ascii="inherit" w:eastAsia="Times New Roman" w:hAnsi="inherit" w:cs="Arial"/>
          <w:color w:val="292B2C"/>
          <w:sz w:val="24"/>
          <w:szCs w:val="24"/>
          <w:lang w:eastAsia="it-IT"/>
        </w:rPr>
        <w:t>Asd</w:t>
      </w:r>
      <w:proofErr w:type="spellEnd"/>
      <w:r w:rsidRPr="00B85C7B">
        <w:rPr>
          <w:rFonts w:ascii="inherit" w:eastAsia="Times New Roman" w:hAnsi="inherit" w:cs="Arial"/>
          <w:color w:val="292B2C"/>
          <w:sz w:val="24"/>
          <w:szCs w:val="24"/>
          <w:lang w:eastAsia="it-IT"/>
        </w:rPr>
        <w:t xml:space="preserve">) e di </w:t>
      </w:r>
      <w:proofErr w:type="spellStart"/>
      <w:r w:rsidRPr="00B85C7B">
        <w:rPr>
          <w:rFonts w:ascii="inherit" w:eastAsia="Times New Roman" w:hAnsi="inherit" w:cs="Arial"/>
          <w:color w:val="292B2C"/>
          <w:sz w:val="24"/>
          <w:szCs w:val="24"/>
          <w:lang w:eastAsia="it-IT"/>
        </w:rPr>
        <w:t>Ets</w:t>
      </w:r>
      <w:proofErr w:type="spellEnd"/>
      <w:r w:rsidRPr="00B85C7B">
        <w:rPr>
          <w:rFonts w:ascii="inherit" w:eastAsia="Times New Roman" w:hAnsi="inherit" w:cs="Arial"/>
          <w:color w:val="292B2C"/>
          <w:sz w:val="24"/>
          <w:szCs w:val="24"/>
          <w:lang w:eastAsia="it-IT"/>
        </w:rPr>
        <w:t>, o meglio di </w:t>
      </w:r>
      <w:hyperlink r:id="rId6" w:history="1">
        <w:r w:rsidRPr="00B85C7B">
          <w:rPr>
            <w:rFonts w:ascii="inherit" w:eastAsia="Times New Roman" w:hAnsi="inherit" w:cs="Arial"/>
            <w:color w:val="0066CC"/>
            <w:sz w:val="24"/>
            <w:szCs w:val="24"/>
            <w:u w:val="single"/>
            <w:lang w:eastAsia="it-IT"/>
          </w:rPr>
          <w:t>associazione di promozione sociale (</w:t>
        </w:r>
        <w:proofErr w:type="spellStart"/>
        <w:r w:rsidRPr="00B85C7B">
          <w:rPr>
            <w:rFonts w:ascii="inherit" w:eastAsia="Times New Roman" w:hAnsi="inherit" w:cs="Arial"/>
            <w:color w:val="0066CC"/>
            <w:sz w:val="24"/>
            <w:szCs w:val="24"/>
            <w:u w:val="single"/>
            <w:lang w:eastAsia="it-IT"/>
          </w:rPr>
          <w:t>Aps</w:t>
        </w:r>
        <w:proofErr w:type="spellEnd"/>
        <w:r w:rsidRPr="00B85C7B">
          <w:rPr>
            <w:rFonts w:ascii="inherit" w:eastAsia="Times New Roman" w:hAnsi="inherit" w:cs="Arial"/>
            <w:color w:val="0066CC"/>
            <w:sz w:val="24"/>
            <w:szCs w:val="24"/>
            <w:u w:val="single"/>
            <w:lang w:eastAsia="it-IT"/>
          </w:rPr>
          <w:t>)</w:t>
        </w:r>
      </w:hyperlink>
      <w:r w:rsidRPr="00B85C7B">
        <w:rPr>
          <w:rFonts w:ascii="inherit" w:eastAsia="Times New Roman" w:hAnsi="inherit" w:cs="Arial"/>
          <w:color w:val="292B2C"/>
          <w:sz w:val="24"/>
          <w:szCs w:val="24"/>
          <w:lang w:eastAsia="it-IT"/>
        </w:rPr>
        <w:t>.</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Rispetto al </w:t>
      </w:r>
      <w:r w:rsidRPr="00B85C7B">
        <w:rPr>
          <w:rFonts w:ascii="inherit" w:eastAsia="Times New Roman" w:hAnsi="inherit" w:cs="Arial"/>
          <w:b/>
          <w:bCs/>
          <w:color w:val="292B2C"/>
          <w:sz w:val="24"/>
          <w:szCs w:val="24"/>
          <w:lang w:eastAsia="it-IT"/>
        </w:rPr>
        <w:t>primo quesito</w:t>
      </w:r>
      <w:r w:rsidRPr="00B85C7B">
        <w:rPr>
          <w:rFonts w:ascii="inherit" w:eastAsia="Times New Roman" w:hAnsi="inherit" w:cs="Arial"/>
          <w:color w:val="292B2C"/>
          <w:sz w:val="24"/>
          <w:szCs w:val="24"/>
          <w:lang w:eastAsia="it-IT"/>
        </w:rPr>
        <w:t> la risposta è scontata: il legislatore ha indicato tra le attività di interesse generale l’organizzazione di attività sportive dilettantistiche. C’è chi eccepisce sul fatto che non sia stata introdotta la tipologia </w:t>
      </w:r>
      <w:r w:rsidRPr="00B85C7B">
        <w:rPr>
          <w:rFonts w:ascii="inherit" w:eastAsia="Times New Roman" w:hAnsi="inherit" w:cs="Arial"/>
          <w:i/>
          <w:iCs/>
          <w:color w:val="292B2C"/>
          <w:sz w:val="24"/>
          <w:szCs w:val="24"/>
          <w:lang w:eastAsia="it-IT"/>
        </w:rPr>
        <w:t>“</w:t>
      </w:r>
      <w:r w:rsidRPr="00B85C7B">
        <w:rPr>
          <w:rFonts w:ascii="inherit" w:eastAsia="Times New Roman" w:hAnsi="inherit" w:cs="Arial"/>
          <w:color w:val="292B2C"/>
          <w:sz w:val="24"/>
          <w:szCs w:val="24"/>
          <w:lang w:eastAsia="it-IT"/>
        </w:rPr>
        <w:t xml:space="preserve">associazione sportiva dilettantistica” all’interno delle diverse fattispecie di enti del terzo settore, ma se così fosse avvenuto, tutte le </w:t>
      </w:r>
      <w:proofErr w:type="spellStart"/>
      <w:r w:rsidRPr="00B85C7B">
        <w:rPr>
          <w:rFonts w:ascii="inherit" w:eastAsia="Times New Roman" w:hAnsi="inherit" w:cs="Arial"/>
          <w:color w:val="292B2C"/>
          <w:sz w:val="24"/>
          <w:szCs w:val="24"/>
          <w:lang w:eastAsia="it-IT"/>
        </w:rPr>
        <w:t>Asd</w:t>
      </w:r>
      <w:proofErr w:type="spellEnd"/>
      <w:r w:rsidRPr="00B85C7B">
        <w:rPr>
          <w:rFonts w:ascii="inherit" w:eastAsia="Times New Roman" w:hAnsi="inherit" w:cs="Arial"/>
          <w:color w:val="292B2C"/>
          <w:sz w:val="24"/>
          <w:szCs w:val="24"/>
          <w:lang w:eastAsia="it-IT"/>
        </w:rPr>
        <w:t xml:space="preserve"> si sarebbero dovute iscrivere, facendo di fatto confluire il registro Coni all’interno del </w:t>
      </w:r>
      <w:hyperlink r:id="rId7" w:history="1">
        <w:r w:rsidRPr="00B85C7B">
          <w:rPr>
            <w:rFonts w:ascii="inherit" w:eastAsia="Times New Roman" w:hAnsi="inherit" w:cs="Arial"/>
            <w:color w:val="0066CC"/>
            <w:sz w:val="24"/>
            <w:szCs w:val="24"/>
            <w:u w:val="single"/>
            <w:lang w:eastAsia="it-IT"/>
          </w:rPr>
          <w:t>registro unico nazionale degli enti del terzo settore (</w:t>
        </w:r>
        <w:proofErr w:type="spellStart"/>
        <w:r w:rsidRPr="00B85C7B">
          <w:rPr>
            <w:rFonts w:ascii="inherit" w:eastAsia="Times New Roman" w:hAnsi="inherit" w:cs="Arial"/>
            <w:color w:val="0066CC"/>
            <w:sz w:val="24"/>
            <w:szCs w:val="24"/>
            <w:u w:val="single"/>
            <w:lang w:eastAsia="it-IT"/>
          </w:rPr>
          <w:t>Runts</w:t>
        </w:r>
        <w:proofErr w:type="spellEnd"/>
        <w:r w:rsidRPr="00B85C7B">
          <w:rPr>
            <w:rFonts w:ascii="inherit" w:eastAsia="Times New Roman" w:hAnsi="inherit" w:cs="Arial"/>
            <w:color w:val="0066CC"/>
            <w:sz w:val="24"/>
            <w:szCs w:val="24"/>
            <w:u w:val="single"/>
            <w:lang w:eastAsia="it-IT"/>
          </w:rPr>
          <w:t>)</w:t>
        </w:r>
      </w:hyperlink>
      <w:r w:rsidRPr="00B85C7B">
        <w:rPr>
          <w:rFonts w:ascii="inherit" w:eastAsia="Times New Roman" w:hAnsi="inherit" w:cs="Arial"/>
          <w:color w:val="292B2C"/>
          <w:sz w:val="24"/>
          <w:szCs w:val="24"/>
          <w:lang w:eastAsia="it-IT"/>
        </w:rPr>
        <w:t>.</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Per quanto riguarda il </w:t>
      </w:r>
      <w:r w:rsidRPr="00B85C7B">
        <w:rPr>
          <w:rFonts w:ascii="inherit" w:eastAsia="Times New Roman" w:hAnsi="inherit" w:cs="Arial"/>
          <w:b/>
          <w:bCs/>
          <w:color w:val="292B2C"/>
          <w:sz w:val="24"/>
          <w:szCs w:val="24"/>
          <w:lang w:eastAsia="it-IT"/>
        </w:rPr>
        <w:t>secondo quesito</w:t>
      </w:r>
      <w:r w:rsidRPr="00B85C7B">
        <w:rPr>
          <w:rFonts w:ascii="inherit" w:eastAsia="Times New Roman" w:hAnsi="inherit" w:cs="Arial"/>
          <w:color w:val="292B2C"/>
          <w:sz w:val="24"/>
          <w:szCs w:val="24"/>
          <w:lang w:eastAsia="it-IT"/>
        </w:rPr>
        <w:t xml:space="preserve">, è invece necessario evidenziare che le associazioni sportive dilettantistiche non sono obbligate ad assumere la qualifica di </w:t>
      </w:r>
      <w:proofErr w:type="spellStart"/>
      <w:r w:rsidRPr="00B85C7B">
        <w:rPr>
          <w:rFonts w:ascii="inherit" w:eastAsia="Times New Roman" w:hAnsi="inherit" w:cs="Arial"/>
          <w:color w:val="292B2C"/>
          <w:sz w:val="24"/>
          <w:szCs w:val="24"/>
          <w:lang w:eastAsia="it-IT"/>
        </w:rPr>
        <w:t>Ets</w:t>
      </w:r>
      <w:proofErr w:type="spellEnd"/>
      <w:r w:rsidRPr="00B85C7B">
        <w:rPr>
          <w:rFonts w:ascii="inherit" w:eastAsia="Times New Roman" w:hAnsi="inherit" w:cs="Arial"/>
          <w:color w:val="292B2C"/>
          <w:sz w:val="24"/>
          <w:szCs w:val="24"/>
          <w:lang w:eastAsia="it-IT"/>
        </w:rPr>
        <w:t xml:space="preserve"> e che ce ne sono alcune che non potranno farlo o che potrebbero non essere interessate a farlo.</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 xml:space="preserve">Nonostante non ci sia obbligo, quindi, rimane possibile per una </w:t>
      </w:r>
      <w:proofErr w:type="spellStart"/>
      <w:r w:rsidRPr="00B85C7B">
        <w:rPr>
          <w:rFonts w:ascii="inherit" w:eastAsia="Times New Roman" w:hAnsi="inherit" w:cs="Arial"/>
          <w:color w:val="292B2C"/>
          <w:sz w:val="24"/>
          <w:szCs w:val="24"/>
          <w:lang w:eastAsia="it-IT"/>
        </w:rPr>
        <w:t>Asd</w:t>
      </w:r>
      <w:proofErr w:type="spellEnd"/>
      <w:r w:rsidRPr="00B85C7B">
        <w:rPr>
          <w:rFonts w:ascii="inherit" w:eastAsia="Times New Roman" w:hAnsi="inherit" w:cs="Arial"/>
          <w:color w:val="292B2C"/>
          <w:sz w:val="24"/>
          <w:szCs w:val="24"/>
          <w:lang w:eastAsia="it-IT"/>
        </w:rPr>
        <w:t xml:space="preserve"> iscriversi al Registro Coni e, in qualità di </w:t>
      </w:r>
      <w:proofErr w:type="spellStart"/>
      <w:r w:rsidRPr="00B85C7B">
        <w:rPr>
          <w:rFonts w:ascii="inherit" w:eastAsia="Times New Roman" w:hAnsi="inherit" w:cs="Arial"/>
          <w:color w:val="292B2C"/>
          <w:sz w:val="24"/>
          <w:szCs w:val="24"/>
          <w:lang w:eastAsia="it-IT"/>
        </w:rPr>
        <w:t>Aps</w:t>
      </w:r>
      <w:proofErr w:type="spellEnd"/>
      <w:r w:rsidRPr="00B85C7B">
        <w:rPr>
          <w:rFonts w:ascii="inherit" w:eastAsia="Times New Roman" w:hAnsi="inherit" w:cs="Arial"/>
          <w:color w:val="292B2C"/>
          <w:sz w:val="24"/>
          <w:szCs w:val="24"/>
          <w:lang w:eastAsia="it-IT"/>
        </w:rPr>
        <w:t>, anche al registro unico del terzo settore.</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Molti dubbi sono stati sciolti dalla </w:t>
      </w:r>
      <w:hyperlink r:id="rId8" w:history="1">
        <w:r w:rsidRPr="00B85C7B">
          <w:rPr>
            <w:rFonts w:ascii="inherit" w:eastAsia="Times New Roman" w:hAnsi="inherit" w:cs="Arial"/>
            <w:color w:val="0066CC"/>
            <w:sz w:val="24"/>
            <w:szCs w:val="24"/>
            <w:u w:val="single"/>
            <w:lang w:eastAsia="it-IT"/>
          </w:rPr>
          <w:t>Circolare dell’Agenzia delle Entrate 18/2018</w:t>
        </w:r>
      </w:hyperlink>
      <w:r w:rsidRPr="00B85C7B">
        <w:rPr>
          <w:rFonts w:ascii="inherit" w:eastAsia="Times New Roman" w:hAnsi="inherit" w:cs="Arial"/>
          <w:color w:val="292B2C"/>
          <w:sz w:val="24"/>
          <w:szCs w:val="24"/>
          <w:lang w:eastAsia="it-IT"/>
        </w:rPr>
        <w:t>, la quale non esclude l’assunzione della doppia qualifica ma evidenzia come </w:t>
      </w:r>
      <w:r w:rsidRPr="00B85C7B">
        <w:rPr>
          <w:rFonts w:ascii="inherit" w:eastAsia="Times New Roman" w:hAnsi="inherit" w:cs="Arial"/>
          <w:b/>
          <w:bCs/>
          <w:color w:val="292B2C"/>
          <w:sz w:val="24"/>
          <w:szCs w:val="24"/>
          <w:lang w:eastAsia="it-IT"/>
        </w:rPr>
        <w:t xml:space="preserve">le </w:t>
      </w:r>
      <w:proofErr w:type="spellStart"/>
      <w:r w:rsidRPr="00B85C7B">
        <w:rPr>
          <w:rFonts w:ascii="inherit" w:eastAsia="Times New Roman" w:hAnsi="inherit" w:cs="Arial"/>
          <w:b/>
          <w:bCs/>
          <w:color w:val="292B2C"/>
          <w:sz w:val="24"/>
          <w:szCs w:val="24"/>
          <w:lang w:eastAsia="it-IT"/>
        </w:rPr>
        <w:t>Asd</w:t>
      </w:r>
      <w:proofErr w:type="spellEnd"/>
      <w:r w:rsidRPr="00B85C7B">
        <w:rPr>
          <w:rFonts w:ascii="inherit" w:eastAsia="Times New Roman" w:hAnsi="inherit" w:cs="Arial"/>
          <w:b/>
          <w:bCs/>
          <w:color w:val="292B2C"/>
          <w:sz w:val="24"/>
          <w:szCs w:val="24"/>
          <w:lang w:eastAsia="it-IT"/>
        </w:rPr>
        <w:t xml:space="preserve"> che decideranno di qualificarsi come ente del terzo settore andranno a perdere</w:t>
      </w:r>
      <w:r w:rsidRPr="00B85C7B">
        <w:rPr>
          <w:rFonts w:ascii="inherit" w:eastAsia="Times New Roman" w:hAnsi="inherit" w:cs="Arial"/>
          <w:color w:val="292B2C"/>
          <w:sz w:val="24"/>
          <w:szCs w:val="24"/>
          <w:lang w:eastAsia="it-IT"/>
        </w:rPr>
        <w:t>:</w:t>
      </w:r>
    </w:p>
    <w:p w:rsidR="00B85C7B" w:rsidRPr="00B85C7B" w:rsidRDefault="00B85C7B" w:rsidP="00B85C7B">
      <w:pPr>
        <w:numPr>
          <w:ilvl w:val="0"/>
          <w:numId w:val="1"/>
        </w:numPr>
        <w:spacing w:before="100" w:beforeAutospacing="1" w:after="100" w:afterAutospacing="1" w:line="240" w:lineRule="auto"/>
        <w:ind w:left="495"/>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 xml:space="preserve">il regime di </w:t>
      </w:r>
      <w:proofErr w:type="spellStart"/>
      <w:r w:rsidRPr="00B85C7B">
        <w:rPr>
          <w:rFonts w:ascii="inherit" w:eastAsia="Times New Roman" w:hAnsi="inherit" w:cs="Arial"/>
          <w:color w:val="292B2C"/>
          <w:sz w:val="24"/>
          <w:szCs w:val="24"/>
          <w:lang w:eastAsia="it-IT"/>
        </w:rPr>
        <w:t>decommercializzazione</w:t>
      </w:r>
      <w:proofErr w:type="spellEnd"/>
      <w:r w:rsidRPr="00B85C7B">
        <w:rPr>
          <w:rFonts w:ascii="inherit" w:eastAsia="Times New Roman" w:hAnsi="inherit" w:cs="Arial"/>
          <w:color w:val="292B2C"/>
          <w:sz w:val="24"/>
          <w:szCs w:val="24"/>
          <w:lang w:eastAsia="it-IT"/>
        </w:rPr>
        <w:t xml:space="preserve"> delle somme versate dai soci per partecipare alle attività inerenti ai fini istituzionali (ex art. 148, terzo comma, del </w:t>
      </w:r>
      <w:proofErr w:type="spellStart"/>
      <w:r w:rsidRPr="00B85C7B">
        <w:rPr>
          <w:rFonts w:ascii="inherit" w:eastAsia="Times New Roman" w:hAnsi="inherit" w:cs="Arial"/>
          <w:color w:val="292B2C"/>
          <w:sz w:val="24"/>
          <w:szCs w:val="24"/>
          <w:lang w:eastAsia="it-IT"/>
        </w:rPr>
        <w:t>Tuir</w:t>
      </w:r>
      <w:proofErr w:type="spellEnd"/>
      <w:r w:rsidRPr="00B85C7B">
        <w:rPr>
          <w:rFonts w:ascii="inherit" w:eastAsia="Times New Roman" w:hAnsi="inherit" w:cs="Arial"/>
          <w:color w:val="292B2C"/>
          <w:sz w:val="24"/>
          <w:szCs w:val="24"/>
          <w:lang w:eastAsia="it-IT"/>
        </w:rPr>
        <w:t xml:space="preserve">) - in virtù del quale la quota di iscrizione versata dal socio per partecipare, ad esempio, al corso di nuoto non è soggetta ad IVA ed a imposte dirette - a meno che non si qualifichino come </w:t>
      </w:r>
      <w:proofErr w:type="spellStart"/>
      <w:r w:rsidRPr="00B85C7B">
        <w:rPr>
          <w:rFonts w:ascii="inherit" w:eastAsia="Times New Roman" w:hAnsi="inherit" w:cs="Arial"/>
          <w:color w:val="292B2C"/>
          <w:sz w:val="24"/>
          <w:szCs w:val="24"/>
          <w:lang w:eastAsia="it-IT"/>
        </w:rPr>
        <w:t>Aps</w:t>
      </w:r>
      <w:proofErr w:type="spellEnd"/>
      <w:r w:rsidRPr="00B85C7B">
        <w:rPr>
          <w:rFonts w:ascii="inherit" w:eastAsia="Times New Roman" w:hAnsi="inherit" w:cs="Arial"/>
          <w:color w:val="292B2C"/>
          <w:sz w:val="24"/>
          <w:szCs w:val="24"/>
          <w:lang w:eastAsia="it-IT"/>
        </w:rPr>
        <w:t>, considerato che ad esse si applica un’analoga agevolazione (art. 85 del Codice del terzo settore);</w:t>
      </w:r>
    </w:p>
    <w:p w:rsidR="00B85C7B" w:rsidRPr="00B85C7B" w:rsidRDefault="00B85C7B" w:rsidP="00B85C7B">
      <w:pPr>
        <w:numPr>
          <w:ilvl w:val="0"/>
          <w:numId w:val="1"/>
        </w:numPr>
        <w:spacing w:before="100" w:beforeAutospacing="1" w:after="100" w:afterAutospacing="1" w:line="240" w:lineRule="auto"/>
        <w:ind w:left="495"/>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 xml:space="preserve">il regime fiscale di forfetizzazione delle imposte di cui alla Legge 398/1991, fatta però salva la possibilità di ricorrere ad un analogo regime fiscale agevolato nel caso in cui si qualifichino come </w:t>
      </w:r>
      <w:proofErr w:type="spellStart"/>
      <w:r w:rsidRPr="00B85C7B">
        <w:rPr>
          <w:rFonts w:ascii="inherit" w:eastAsia="Times New Roman" w:hAnsi="inherit" w:cs="Arial"/>
          <w:color w:val="292B2C"/>
          <w:sz w:val="24"/>
          <w:szCs w:val="24"/>
          <w:lang w:eastAsia="it-IT"/>
        </w:rPr>
        <w:t>Aps</w:t>
      </w:r>
      <w:proofErr w:type="spellEnd"/>
      <w:r w:rsidRPr="00B85C7B">
        <w:rPr>
          <w:rFonts w:ascii="inherit" w:eastAsia="Times New Roman" w:hAnsi="inherit" w:cs="Arial"/>
          <w:color w:val="292B2C"/>
          <w:sz w:val="24"/>
          <w:szCs w:val="24"/>
          <w:lang w:eastAsia="it-IT"/>
        </w:rPr>
        <w:t xml:space="preserve"> e presentino ricavi commerciali inferiori ad euro 130.000 (art. 86 del Codice del terzo settore).</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 xml:space="preserve">Questo significa che ci potranno essere </w:t>
      </w:r>
      <w:proofErr w:type="spellStart"/>
      <w:r w:rsidRPr="00B85C7B">
        <w:rPr>
          <w:rFonts w:ascii="inherit" w:eastAsia="Times New Roman" w:hAnsi="inherit" w:cs="Arial"/>
          <w:color w:val="292B2C"/>
          <w:sz w:val="24"/>
          <w:szCs w:val="24"/>
          <w:lang w:eastAsia="it-IT"/>
        </w:rPr>
        <w:t>Asd</w:t>
      </w:r>
      <w:proofErr w:type="spellEnd"/>
      <w:r w:rsidRPr="00B85C7B">
        <w:rPr>
          <w:rFonts w:ascii="inherit" w:eastAsia="Times New Roman" w:hAnsi="inherit" w:cs="Arial"/>
          <w:color w:val="292B2C"/>
          <w:sz w:val="24"/>
          <w:szCs w:val="24"/>
          <w:lang w:eastAsia="it-IT"/>
        </w:rPr>
        <w:t xml:space="preserve"> che non presentando i requisiti per qualificarsi come associazione di promozione sociale non hanno interesse ad assumere la qualifica di </w:t>
      </w:r>
      <w:proofErr w:type="spellStart"/>
      <w:r w:rsidRPr="00B85C7B">
        <w:rPr>
          <w:rFonts w:ascii="inherit" w:eastAsia="Times New Roman" w:hAnsi="inherit" w:cs="Arial"/>
          <w:color w:val="292B2C"/>
          <w:sz w:val="24"/>
          <w:szCs w:val="24"/>
          <w:lang w:eastAsia="it-IT"/>
        </w:rPr>
        <w:t>Ets</w:t>
      </w:r>
      <w:proofErr w:type="spellEnd"/>
      <w:r w:rsidRPr="00B85C7B">
        <w:rPr>
          <w:rFonts w:ascii="inherit" w:eastAsia="Times New Roman" w:hAnsi="inherit" w:cs="Arial"/>
          <w:color w:val="292B2C"/>
          <w:sz w:val="24"/>
          <w:szCs w:val="24"/>
          <w:lang w:eastAsia="it-IT"/>
        </w:rPr>
        <w:t xml:space="preserve"> in quanto perderebbero l’agevolazione indicata alla lettera a).</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 xml:space="preserve">Allo stesso tempo, ci potrebbero essere associazioni sportive dilettantistiche che pur avendo i requisiti per qualificarsi come </w:t>
      </w:r>
      <w:proofErr w:type="spellStart"/>
      <w:r w:rsidRPr="00B85C7B">
        <w:rPr>
          <w:rFonts w:ascii="inherit" w:eastAsia="Times New Roman" w:hAnsi="inherit" w:cs="Arial"/>
          <w:color w:val="292B2C"/>
          <w:sz w:val="24"/>
          <w:szCs w:val="24"/>
          <w:lang w:eastAsia="it-IT"/>
        </w:rPr>
        <w:t>Aps</w:t>
      </w:r>
      <w:proofErr w:type="spellEnd"/>
      <w:r w:rsidRPr="00B85C7B">
        <w:rPr>
          <w:rFonts w:ascii="inherit" w:eastAsia="Times New Roman" w:hAnsi="inherit" w:cs="Arial"/>
          <w:color w:val="292B2C"/>
          <w:sz w:val="24"/>
          <w:szCs w:val="24"/>
          <w:lang w:eastAsia="it-IT"/>
        </w:rPr>
        <w:t xml:space="preserve"> non sono interessate ad acquisirlo in quanto presentando ricavi commerciali superiori ad euro 130.000, ma inferiori ad euro 400.000, accederebbero ad un regime fiscalmente molto più oneroso rispetto a quello previsto dalla Legge 398.</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lastRenderedPageBreak/>
        <w:t>In sintesi, è possibile assumere la doppia qualifica ma potrebbero esserci associazioni sportive dilettantistiche non interessate ad assumerla.</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b/>
          <w:bCs/>
          <w:color w:val="292B2C"/>
          <w:sz w:val="24"/>
          <w:szCs w:val="24"/>
          <w:lang w:eastAsia="it-IT"/>
        </w:rPr>
        <w:t>Un ulteriore dubbio</w:t>
      </w:r>
      <w:r w:rsidRPr="00B85C7B">
        <w:rPr>
          <w:rFonts w:ascii="inherit" w:eastAsia="Times New Roman" w:hAnsi="inherit" w:cs="Arial"/>
          <w:color w:val="292B2C"/>
          <w:sz w:val="24"/>
          <w:szCs w:val="24"/>
          <w:lang w:eastAsia="it-IT"/>
        </w:rPr>
        <w:t xml:space="preserve"> è stato sollevato in merito al rischio per le </w:t>
      </w:r>
      <w:proofErr w:type="spellStart"/>
      <w:r w:rsidRPr="00B85C7B">
        <w:rPr>
          <w:rFonts w:ascii="inherit" w:eastAsia="Times New Roman" w:hAnsi="inherit" w:cs="Arial"/>
          <w:color w:val="292B2C"/>
          <w:sz w:val="24"/>
          <w:szCs w:val="24"/>
          <w:lang w:eastAsia="it-IT"/>
        </w:rPr>
        <w:t>Asd-Aps</w:t>
      </w:r>
      <w:proofErr w:type="spellEnd"/>
      <w:r w:rsidRPr="00B85C7B">
        <w:rPr>
          <w:rFonts w:ascii="inherit" w:eastAsia="Times New Roman" w:hAnsi="inherit" w:cs="Arial"/>
          <w:color w:val="292B2C"/>
          <w:sz w:val="24"/>
          <w:szCs w:val="24"/>
          <w:lang w:eastAsia="it-IT"/>
        </w:rPr>
        <w:t xml:space="preserve"> di perdere i benefici dell’istituto del </w:t>
      </w:r>
      <w:r w:rsidRPr="00B85C7B">
        <w:rPr>
          <w:rFonts w:ascii="inherit" w:eastAsia="Times New Roman" w:hAnsi="inherit" w:cs="Arial"/>
          <w:b/>
          <w:bCs/>
          <w:color w:val="292B2C"/>
          <w:sz w:val="24"/>
          <w:szCs w:val="24"/>
          <w:lang w:eastAsia="it-IT"/>
        </w:rPr>
        <w:t>“compenso sportivo o rimborso forfettario”. </w:t>
      </w:r>
      <w:r w:rsidRPr="00B85C7B">
        <w:rPr>
          <w:rFonts w:ascii="inherit" w:eastAsia="Times New Roman" w:hAnsi="inherit" w:cs="Arial"/>
          <w:color w:val="292B2C"/>
          <w:sz w:val="24"/>
          <w:szCs w:val="24"/>
          <w:lang w:eastAsia="it-IT"/>
        </w:rPr>
        <w:t xml:space="preserve">Si tratta di un istituto che non gode ad oggi di una definizione </w:t>
      </w:r>
      <w:proofErr w:type="spellStart"/>
      <w:r w:rsidRPr="00B85C7B">
        <w:rPr>
          <w:rFonts w:ascii="inherit" w:eastAsia="Times New Roman" w:hAnsi="inherit" w:cs="Arial"/>
          <w:color w:val="292B2C"/>
          <w:sz w:val="24"/>
          <w:szCs w:val="24"/>
          <w:lang w:eastAsia="it-IT"/>
        </w:rPr>
        <w:t>giuslavoristica</w:t>
      </w:r>
      <w:proofErr w:type="spellEnd"/>
      <w:r w:rsidRPr="00B85C7B">
        <w:rPr>
          <w:rFonts w:ascii="inherit" w:eastAsia="Times New Roman" w:hAnsi="inherit" w:cs="Arial"/>
          <w:color w:val="292B2C"/>
          <w:sz w:val="24"/>
          <w:szCs w:val="24"/>
          <w:lang w:eastAsia="it-IT"/>
        </w:rPr>
        <w:t>, fatte salve le novità che potranno entrare in vigore con i decreti attuativi alla Riforma dell'ordinamento sportivo, la cui delega è stata di recente licenziata dalla Camera dei deputati (</w:t>
      </w:r>
      <w:hyperlink r:id="rId9" w:tgtFrame="_blank" w:history="1">
        <w:r w:rsidRPr="00B85C7B">
          <w:rPr>
            <w:rFonts w:ascii="inherit" w:eastAsia="Times New Roman" w:hAnsi="inherit" w:cs="Arial"/>
            <w:color w:val="0066CC"/>
            <w:sz w:val="24"/>
            <w:szCs w:val="24"/>
            <w:u w:val="single"/>
            <w:lang w:eastAsia="it-IT"/>
          </w:rPr>
          <w:t>n. 1603 bis – A</w:t>
        </w:r>
      </w:hyperlink>
      <w:r w:rsidRPr="00B85C7B">
        <w:rPr>
          <w:rFonts w:ascii="inherit" w:eastAsia="Times New Roman" w:hAnsi="inherit" w:cs="Arial"/>
          <w:color w:val="292B2C"/>
          <w:sz w:val="24"/>
          <w:szCs w:val="24"/>
          <w:lang w:eastAsia="it-IT"/>
        </w:rPr>
        <w:t xml:space="preserve">). Esiste ad oggi, infatti, esclusivamente una definizione fiscale agevolata, facendo riferimento all’art. 67, primo comma, lettera m) del </w:t>
      </w:r>
      <w:proofErr w:type="spellStart"/>
      <w:r w:rsidRPr="00B85C7B">
        <w:rPr>
          <w:rFonts w:ascii="inherit" w:eastAsia="Times New Roman" w:hAnsi="inherit" w:cs="Arial"/>
          <w:color w:val="292B2C"/>
          <w:sz w:val="24"/>
          <w:szCs w:val="24"/>
          <w:lang w:eastAsia="it-IT"/>
        </w:rPr>
        <w:t>Tuir</w:t>
      </w:r>
      <w:proofErr w:type="spellEnd"/>
      <w:r w:rsidRPr="00B85C7B">
        <w:rPr>
          <w:rFonts w:ascii="inherit" w:eastAsia="Times New Roman" w:hAnsi="inherit" w:cs="Arial"/>
          <w:color w:val="292B2C"/>
          <w:sz w:val="24"/>
          <w:szCs w:val="24"/>
          <w:lang w:eastAsia="it-IT"/>
        </w:rPr>
        <w:t>, nella categoria dei redditi diversi, qualora il reddito non sia conseguito nell’esercizio di arti e professioni o in relazione alla qualità di lavoratore dipendente</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Il dubbio è stato sollevato in quanto il Codice del terzo settore introduce per la prima volta una definizione della figura del volontario valida in qualsiasi ambito, evidenziando che lo stesso non può percepire rimborsi forfettari. Possiamo quindi affermare che i percettori di compensi sportivi non sono qualificabili come volontari.</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È stato inoltre sottolineato come l’articolo 16 del codice del terzo settore preveda che “I lavoratori degli enti del terzo settore hanno diritto ad un trattamento economico e normativo non inferiore a quello previsto dai contratti collettivi di cui all'articolo 51 del decreto legislativo 15 giugno 2015, n. 81</w:t>
      </w:r>
      <w:r w:rsidRPr="00B85C7B">
        <w:rPr>
          <w:rFonts w:ascii="inherit" w:eastAsia="Times New Roman" w:hAnsi="inherit" w:cs="Arial"/>
          <w:i/>
          <w:iCs/>
          <w:color w:val="292B2C"/>
          <w:sz w:val="24"/>
          <w:szCs w:val="24"/>
          <w:lang w:eastAsia="it-IT"/>
        </w:rPr>
        <w:t>”</w:t>
      </w:r>
      <w:r w:rsidRPr="00B85C7B">
        <w:rPr>
          <w:rFonts w:ascii="inherit" w:eastAsia="Times New Roman" w:hAnsi="inherit" w:cs="Arial"/>
          <w:color w:val="292B2C"/>
          <w:sz w:val="24"/>
          <w:szCs w:val="24"/>
          <w:lang w:eastAsia="it-IT"/>
        </w:rPr>
        <w:t>, con ciò evidenziando così che l’istituto del compenso sportivo contrasterebbe con la norma citata. Si ritiene però che tale norma non possa che essere letta con riferimento ai dipendenti, non beneficiando neppure i lavoratori autonomi del medesimo trattamento normativo previsto per i dipendenti dai contratti collettivi stipulati dalle organizzazioni maggiormente rappresentative.</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 xml:space="preserve">Sul tema il professor Antonio </w:t>
      </w:r>
      <w:proofErr w:type="spellStart"/>
      <w:r w:rsidRPr="00B85C7B">
        <w:rPr>
          <w:rFonts w:ascii="inherit" w:eastAsia="Times New Roman" w:hAnsi="inherit" w:cs="Arial"/>
          <w:color w:val="292B2C"/>
          <w:sz w:val="24"/>
          <w:szCs w:val="24"/>
          <w:lang w:eastAsia="it-IT"/>
        </w:rPr>
        <w:t>Fici</w:t>
      </w:r>
      <w:proofErr w:type="spellEnd"/>
      <w:r w:rsidRPr="00B85C7B">
        <w:rPr>
          <w:rFonts w:ascii="inherit" w:eastAsia="Times New Roman" w:hAnsi="inherit" w:cs="Arial"/>
          <w:color w:val="292B2C"/>
          <w:sz w:val="24"/>
          <w:szCs w:val="24"/>
          <w:lang w:eastAsia="it-IT"/>
        </w:rPr>
        <w:t xml:space="preserve"> evidenzia nell'articolo "</w:t>
      </w:r>
      <w:hyperlink r:id="rId10" w:tgtFrame="_self" w:history="1">
        <w:r w:rsidRPr="00B85C7B">
          <w:rPr>
            <w:rFonts w:ascii="inherit" w:eastAsia="Times New Roman" w:hAnsi="inherit" w:cs="Arial"/>
            <w:color w:val="0066CC"/>
            <w:sz w:val="24"/>
            <w:szCs w:val="24"/>
            <w:u w:val="single"/>
            <w:lang w:eastAsia="it-IT"/>
          </w:rPr>
          <w:t>La riforma come opportunità per le associazioni (e le società) sportive dilettantistiche</w:t>
        </w:r>
      </w:hyperlink>
      <w:r w:rsidRPr="00B85C7B">
        <w:rPr>
          <w:rFonts w:ascii="inherit" w:eastAsia="Times New Roman" w:hAnsi="inherit" w:cs="Arial"/>
          <w:color w:val="292B2C"/>
          <w:sz w:val="24"/>
          <w:szCs w:val="24"/>
          <w:lang w:eastAsia="it-IT"/>
        </w:rPr>
        <w:t>" che:</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 xml:space="preserve">"Deve peraltro ritenersi che per una </w:t>
      </w:r>
      <w:proofErr w:type="spellStart"/>
      <w:r w:rsidRPr="00B85C7B">
        <w:rPr>
          <w:rFonts w:ascii="inherit" w:eastAsia="Times New Roman" w:hAnsi="inherit" w:cs="Arial"/>
          <w:color w:val="292B2C"/>
          <w:sz w:val="24"/>
          <w:szCs w:val="24"/>
          <w:lang w:eastAsia="it-IT"/>
        </w:rPr>
        <w:t>Asd</w:t>
      </w:r>
      <w:proofErr w:type="spellEnd"/>
      <w:r w:rsidRPr="00B85C7B">
        <w:rPr>
          <w:rFonts w:ascii="inherit" w:eastAsia="Times New Roman" w:hAnsi="inherit" w:cs="Arial"/>
          <w:color w:val="292B2C"/>
          <w:sz w:val="24"/>
          <w:szCs w:val="24"/>
          <w:lang w:eastAsia="it-IT"/>
        </w:rPr>
        <w:t xml:space="preserve"> non vi siano ulteriori conseguenze negative derivanti dall'assunzione dell'ulteriore status di </w:t>
      </w:r>
      <w:proofErr w:type="spellStart"/>
      <w:r w:rsidRPr="00B85C7B">
        <w:rPr>
          <w:rFonts w:ascii="inherit" w:eastAsia="Times New Roman" w:hAnsi="inherit" w:cs="Arial"/>
          <w:color w:val="292B2C"/>
          <w:sz w:val="24"/>
          <w:szCs w:val="24"/>
          <w:lang w:eastAsia="it-IT"/>
        </w:rPr>
        <w:t>Aps</w:t>
      </w:r>
      <w:proofErr w:type="spellEnd"/>
      <w:r w:rsidRPr="00B85C7B">
        <w:rPr>
          <w:rFonts w:ascii="inherit" w:eastAsia="Times New Roman" w:hAnsi="inherit" w:cs="Arial"/>
          <w:color w:val="292B2C"/>
          <w:sz w:val="24"/>
          <w:szCs w:val="24"/>
          <w:lang w:eastAsia="it-IT"/>
        </w:rPr>
        <w:t xml:space="preserve">. In particolare, rimarrebbe invariata ed applicabile alle </w:t>
      </w:r>
      <w:proofErr w:type="spellStart"/>
      <w:r w:rsidRPr="00B85C7B">
        <w:rPr>
          <w:rFonts w:ascii="inherit" w:eastAsia="Times New Roman" w:hAnsi="inherit" w:cs="Arial"/>
          <w:color w:val="292B2C"/>
          <w:sz w:val="24"/>
          <w:szCs w:val="24"/>
          <w:lang w:eastAsia="it-IT"/>
        </w:rPr>
        <w:t>Asd-Aps</w:t>
      </w:r>
      <w:proofErr w:type="spellEnd"/>
      <w:r w:rsidRPr="00B85C7B">
        <w:rPr>
          <w:rFonts w:ascii="inherit" w:eastAsia="Times New Roman" w:hAnsi="inherit" w:cs="Arial"/>
          <w:color w:val="292B2C"/>
          <w:sz w:val="24"/>
          <w:szCs w:val="24"/>
          <w:lang w:eastAsia="it-IT"/>
        </w:rPr>
        <w:t xml:space="preserve"> la disciplina fiscale di cui all'art. 69, comma 2, </w:t>
      </w:r>
      <w:proofErr w:type="spellStart"/>
      <w:r w:rsidRPr="00B85C7B">
        <w:rPr>
          <w:rFonts w:ascii="inherit" w:eastAsia="Times New Roman" w:hAnsi="inherit" w:cs="Arial"/>
          <w:color w:val="292B2C"/>
          <w:sz w:val="24"/>
          <w:szCs w:val="24"/>
          <w:lang w:eastAsia="it-IT"/>
        </w:rPr>
        <w:t>Tuir</w:t>
      </w:r>
      <w:proofErr w:type="spellEnd"/>
      <w:r w:rsidRPr="00B85C7B">
        <w:rPr>
          <w:rFonts w:ascii="inherit" w:eastAsia="Times New Roman" w:hAnsi="inherit" w:cs="Arial"/>
          <w:color w:val="292B2C"/>
          <w:sz w:val="24"/>
          <w:szCs w:val="24"/>
          <w:lang w:eastAsia="it-IT"/>
        </w:rPr>
        <w:t xml:space="preserve"> (esenzione del reddito imponibile dei compensi sportivi fino a 10.000 euro per periodo)".</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Sgombrati, quindi i dubbi rispetto all'assunzione della doppia qualifica di associazione sportiva dilettantistica e di associazione di promozione sociale, </w:t>
      </w:r>
      <w:r w:rsidRPr="00B85C7B">
        <w:rPr>
          <w:rFonts w:ascii="inherit" w:eastAsia="Times New Roman" w:hAnsi="inherit" w:cs="Arial"/>
          <w:b/>
          <w:bCs/>
          <w:color w:val="292B2C"/>
          <w:sz w:val="24"/>
          <w:szCs w:val="24"/>
          <w:lang w:eastAsia="it-IT"/>
        </w:rPr>
        <w:t>per quali motivi fare questa scelta</w:t>
      </w:r>
      <w:r w:rsidRPr="00B85C7B">
        <w:rPr>
          <w:rFonts w:ascii="inherit" w:eastAsia="Times New Roman" w:hAnsi="inherit" w:cs="Arial"/>
          <w:color w:val="292B2C"/>
          <w:sz w:val="24"/>
          <w:szCs w:val="24"/>
          <w:lang w:eastAsia="it-IT"/>
        </w:rPr>
        <w:t>?</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Innanzitutto perché qualificarsi come associazione di promozione sociale garantisce la possibilità di promuovere anche </w:t>
      </w:r>
      <w:r w:rsidRPr="00B85C7B">
        <w:rPr>
          <w:rFonts w:ascii="inherit" w:eastAsia="Times New Roman" w:hAnsi="inherit" w:cs="Arial"/>
          <w:b/>
          <w:bCs/>
          <w:color w:val="292B2C"/>
          <w:sz w:val="24"/>
          <w:szCs w:val="24"/>
          <w:lang w:eastAsia="it-IT"/>
        </w:rPr>
        <w:t>attività diverse</w:t>
      </w:r>
      <w:r w:rsidRPr="00B85C7B">
        <w:rPr>
          <w:rFonts w:ascii="inherit" w:eastAsia="Times New Roman" w:hAnsi="inherit" w:cs="Arial"/>
          <w:color w:val="292B2C"/>
          <w:sz w:val="24"/>
          <w:szCs w:val="24"/>
          <w:lang w:eastAsia="it-IT"/>
        </w:rPr>
        <w:t xml:space="preserve"> da quelle sportive dilettantistiche come quelle di natura ricreativa, culturale, aggregativa che oggi molte </w:t>
      </w:r>
      <w:proofErr w:type="spellStart"/>
      <w:r w:rsidRPr="00B85C7B">
        <w:rPr>
          <w:rFonts w:ascii="inherit" w:eastAsia="Times New Roman" w:hAnsi="inherit" w:cs="Arial"/>
          <w:color w:val="292B2C"/>
          <w:sz w:val="24"/>
          <w:szCs w:val="24"/>
          <w:lang w:eastAsia="it-IT"/>
        </w:rPr>
        <w:t>Asd</w:t>
      </w:r>
      <w:proofErr w:type="spellEnd"/>
      <w:r w:rsidRPr="00B85C7B">
        <w:rPr>
          <w:rFonts w:ascii="inherit" w:eastAsia="Times New Roman" w:hAnsi="inherit" w:cs="Arial"/>
          <w:color w:val="292B2C"/>
          <w:sz w:val="24"/>
          <w:szCs w:val="24"/>
          <w:lang w:eastAsia="it-IT"/>
        </w:rPr>
        <w:t xml:space="preserve"> realizzano. Basti pensare alle associazioni che organizzano attività sportive per i nipoti e al contempo la tombola per i relativi nonni, o l’associazione che organizza nel corso del centro ricreativo estivo attività sportive, sostegno nei compiti per le vacanze e laboratori teatrali. Oggi possono </w:t>
      </w:r>
      <w:proofErr w:type="spellStart"/>
      <w:r w:rsidRPr="00B85C7B">
        <w:rPr>
          <w:rFonts w:ascii="inherit" w:eastAsia="Times New Roman" w:hAnsi="inherit" w:cs="Arial"/>
          <w:color w:val="292B2C"/>
          <w:sz w:val="24"/>
          <w:szCs w:val="24"/>
          <w:lang w:eastAsia="it-IT"/>
        </w:rPr>
        <w:t>decommercializzare</w:t>
      </w:r>
      <w:proofErr w:type="spellEnd"/>
      <w:r w:rsidRPr="00B85C7B">
        <w:rPr>
          <w:rFonts w:ascii="inherit" w:eastAsia="Times New Roman" w:hAnsi="inherit" w:cs="Arial"/>
          <w:color w:val="292B2C"/>
          <w:sz w:val="24"/>
          <w:szCs w:val="24"/>
          <w:lang w:eastAsia="it-IT"/>
        </w:rPr>
        <w:t xml:space="preserve"> i corrispettivi specifici versati dai soci anche con riferimento a tali introiti nel momento in cui queste attività sono indicate nello statuto, quando entrerà in vigore la parte fiscale del codice del terzo settore (ossia dall’esercizio successivo a quello di funzionamento del registro unico e acquisito l’assenso della Commissione europea sui nuovi regimi fiscali) tale beneficio sarà subordinato all’acquisizione della qualifica di associazione di promozione sociale.</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 xml:space="preserve">Inoltre, apre le porte ai percorsi di </w:t>
      </w:r>
      <w:proofErr w:type="spellStart"/>
      <w:r w:rsidRPr="00B85C7B">
        <w:rPr>
          <w:rFonts w:ascii="inherit" w:eastAsia="Times New Roman" w:hAnsi="inherit" w:cs="Arial"/>
          <w:color w:val="292B2C"/>
          <w:sz w:val="24"/>
          <w:szCs w:val="24"/>
          <w:lang w:eastAsia="it-IT"/>
        </w:rPr>
        <w:t>coprogrammazione</w:t>
      </w:r>
      <w:proofErr w:type="spellEnd"/>
      <w:r w:rsidRPr="00B85C7B">
        <w:rPr>
          <w:rFonts w:ascii="inherit" w:eastAsia="Times New Roman" w:hAnsi="inherit" w:cs="Arial"/>
          <w:color w:val="292B2C"/>
          <w:sz w:val="24"/>
          <w:szCs w:val="24"/>
          <w:lang w:eastAsia="it-IT"/>
        </w:rPr>
        <w:t xml:space="preserve"> e </w:t>
      </w:r>
      <w:proofErr w:type="spellStart"/>
      <w:r w:rsidRPr="00B85C7B">
        <w:rPr>
          <w:rFonts w:ascii="inherit" w:eastAsia="Times New Roman" w:hAnsi="inherit" w:cs="Arial"/>
          <w:color w:val="292B2C"/>
          <w:sz w:val="24"/>
          <w:szCs w:val="24"/>
          <w:lang w:eastAsia="it-IT"/>
        </w:rPr>
        <w:t>coprogettazione</w:t>
      </w:r>
      <w:proofErr w:type="spellEnd"/>
      <w:r w:rsidRPr="00B85C7B">
        <w:rPr>
          <w:rFonts w:ascii="inherit" w:eastAsia="Times New Roman" w:hAnsi="inherit" w:cs="Arial"/>
          <w:color w:val="292B2C"/>
          <w:sz w:val="24"/>
          <w:szCs w:val="24"/>
          <w:lang w:eastAsia="it-IT"/>
        </w:rPr>
        <w:t xml:space="preserve"> con le </w:t>
      </w:r>
      <w:r w:rsidRPr="00B85C7B">
        <w:rPr>
          <w:rFonts w:ascii="inherit" w:eastAsia="Times New Roman" w:hAnsi="inherit" w:cs="Arial"/>
          <w:b/>
          <w:bCs/>
          <w:color w:val="292B2C"/>
          <w:sz w:val="24"/>
          <w:szCs w:val="24"/>
          <w:lang w:eastAsia="it-IT"/>
        </w:rPr>
        <w:t>pubbliche amministrazioni</w:t>
      </w:r>
      <w:r w:rsidRPr="00B85C7B">
        <w:rPr>
          <w:rFonts w:ascii="inherit" w:eastAsia="Times New Roman" w:hAnsi="inherit" w:cs="Arial"/>
          <w:color w:val="292B2C"/>
          <w:sz w:val="24"/>
          <w:szCs w:val="24"/>
          <w:lang w:eastAsia="it-IT"/>
        </w:rPr>
        <w:t>, consentendo anche la stipula di </w:t>
      </w:r>
      <w:hyperlink r:id="rId11" w:history="1">
        <w:r w:rsidRPr="00B85C7B">
          <w:rPr>
            <w:rFonts w:ascii="inherit" w:eastAsia="Times New Roman" w:hAnsi="inherit" w:cs="Arial"/>
            <w:b/>
            <w:bCs/>
            <w:color w:val="0066CC"/>
            <w:sz w:val="24"/>
            <w:szCs w:val="24"/>
            <w:u w:val="single"/>
            <w:lang w:eastAsia="it-IT"/>
          </w:rPr>
          <w:t>convenzioni</w:t>
        </w:r>
      </w:hyperlink>
      <w:r w:rsidRPr="00B85C7B">
        <w:rPr>
          <w:rFonts w:ascii="inherit" w:eastAsia="Times New Roman" w:hAnsi="inherit" w:cs="Arial"/>
          <w:color w:val="292B2C"/>
          <w:sz w:val="24"/>
          <w:szCs w:val="24"/>
          <w:lang w:eastAsia="it-IT"/>
        </w:rPr>
        <w:t>, garantisce maggiori benefici fiscali ai propri </w:t>
      </w:r>
      <w:hyperlink r:id="rId12" w:history="1">
        <w:r w:rsidRPr="00B85C7B">
          <w:rPr>
            <w:rFonts w:ascii="inherit" w:eastAsia="Times New Roman" w:hAnsi="inherit" w:cs="Arial"/>
            <w:b/>
            <w:bCs/>
            <w:color w:val="0066CC"/>
            <w:sz w:val="24"/>
            <w:szCs w:val="24"/>
            <w:u w:val="single"/>
            <w:lang w:eastAsia="it-IT"/>
          </w:rPr>
          <w:t>donatori</w:t>
        </w:r>
      </w:hyperlink>
      <w:r w:rsidRPr="00B85C7B">
        <w:rPr>
          <w:rFonts w:ascii="inherit" w:eastAsia="Times New Roman" w:hAnsi="inherit" w:cs="Arial"/>
          <w:color w:val="292B2C"/>
          <w:sz w:val="24"/>
          <w:szCs w:val="24"/>
          <w:lang w:eastAsia="it-IT"/>
        </w:rPr>
        <w:t>, introduce maggiori </w:t>
      </w:r>
      <w:r w:rsidRPr="00B85C7B">
        <w:rPr>
          <w:rFonts w:ascii="inherit" w:eastAsia="Times New Roman" w:hAnsi="inherit" w:cs="Arial"/>
          <w:b/>
          <w:bCs/>
          <w:color w:val="292B2C"/>
          <w:sz w:val="24"/>
          <w:szCs w:val="24"/>
          <w:lang w:eastAsia="it-IT"/>
        </w:rPr>
        <w:t>agevolazioni fiscali</w:t>
      </w:r>
      <w:r w:rsidRPr="00B85C7B">
        <w:rPr>
          <w:rFonts w:ascii="inherit" w:eastAsia="Times New Roman" w:hAnsi="inherit" w:cs="Arial"/>
          <w:color w:val="292B2C"/>
          <w:sz w:val="24"/>
          <w:szCs w:val="24"/>
          <w:lang w:eastAsia="it-IT"/>
        </w:rPr>
        <w:t> sotto il profilo delle </w:t>
      </w:r>
      <w:hyperlink r:id="rId13" w:history="1">
        <w:r w:rsidRPr="00B85C7B">
          <w:rPr>
            <w:rFonts w:ascii="inherit" w:eastAsia="Times New Roman" w:hAnsi="inherit" w:cs="Arial"/>
            <w:color w:val="0066CC"/>
            <w:sz w:val="24"/>
            <w:szCs w:val="24"/>
            <w:u w:val="single"/>
            <w:lang w:eastAsia="it-IT"/>
          </w:rPr>
          <w:t>imposte indirette</w:t>
        </w:r>
      </w:hyperlink>
      <w:r w:rsidRPr="00B85C7B">
        <w:rPr>
          <w:rFonts w:ascii="inherit" w:eastAsia="Times New Roman" w:hAnsi="inherit" w:cs="Arial"/>
          <w:color w:val="292B2C"/>
          <w:sz w:val="24"/>
          <w:szCs w:val="24"/>
          <w:lang w:eastAsia="it-IT"/>
        </w:rPr>
        <w:t xml:space="preserve">, </w:t>
      </w:r>
      <w:r w:rsidRPr="00B85C7B">
        <w:rPr>
          <w:rFonts w:ascii="inherit" w:eastAsia="Times New Roman" w:hAnsi="inherit" w:cs="Arial"/>
          <w:color w:val="292B2C"/>
          <w:sz w:val="24"/>
          <w:szCs w:val="24"/>
          <w:lang w:eastAsia="it-IT"/>
        </w:rPr>
        <w:lastRenderedPageBreak/>
        <w:t>in futuro garantisce un regime sulla fiscalità diretta per alcuni versi più agevolato (art. 79 del Codice del terzo settore), autorizza l’utilizzo della </w:t>
      </w:r>
      <w:hyperlink r:id="rId14" w:history="1">
        <w:r w:rsidRPr="00B85C7B">
          <w:rPr>
            <w:rFonts w:ascii="inherit" w:eastAsia="Times New Roman" w:hAnsi="inherit" w:cs="Arial"/>
            <w:color w:val="0066CC"/>
            <w:sz w:val="24"/>
            <w:szCs w:val="24"/>
            <w:u w:val="single"/>
            <w:lang w:eastAsia="it-IT"/>
          </w:rPr>
          <w:t>sede</w:t>
        </w:r>
      </w:hyperlink>
      <w:r w:rsidRPr="00B85C7B">
        <w:rPr>
          <w:rFonts w:ascii="inherit" w:eastAsia="Times New Roman" w:hAnsi="inherit" w:cs="Arial"/>
          <w:color w:val="292B2C"/>
          <w:sz w:val="24"/>
          <w:szCs w:val="24"/>
          <w:lang w:eastAsia="it-IT"/>
        </w:rPr>
        <w:t> a prescindere dalla destinazione urbanistica con conseguenti minori oneri per l’associazione e, secondo la  legge delega di riforma del terzo settore, è condizione per avvalersi “prevalentemente o stabilmente di finanziamenti pubblici, di fondi privati raccolti attraverso pubbliche sottoscrizioni o di fondi europei destinati al sostegno dell'economia sociale</w:t>
      </w:r>
      <w:r w:rsidRPr="00B85C7B">
        <w:rPr>
          <w:rFonts w:ascii="inherit" w:eastAsia="Times New Roman" w:hAnsi="inherit" w:cs="Arial"/>
          <w:i/>
          <w:iCs/>
          <w:color w:val="292B2C"/>
          <w:sz w:val="24"/>
          <w:szCs w:val="24"/>
          <w:lang w:eastAsia="it-IT"/>
        </w:rPr>
        <w:t>” </w:t>
      </w:r>
      <w:r w:rsidRPr="00B85C7B">
        <w:rPr>
          <w:rFonts w:ascii="inherit" w:eastAsia="Times New Roman" w:hAnsi="inherit" w:cs="Arial"/>
          <w:color w:val="292B2C"/>
          <w:sz w:val="24"/>
          <w:szCs w:val="24"/>
          <w:lang w:eastAsia="it-IT"/>
        </w:rPr>
        <w:t>o per esercitare</w:t>
      </w:r>
      <w:r w:rsidRPr="00B85C7B">
        <w:rPr>
          <w:rFonts w:ascii="inherit" w:eastAsia="Times New Roman" w:hAnsi="inherit" w:cs="Arial"/>
          <w:i/>
          <w:iCs/>
          <w:color w:val="292B2C"/>
          <w:sz w:val="24"/>
          <w:szCs w:val="24"/>
          <w:lang w:eastAsia="it-IT"/>
        </w:rPr>
        <w:t> “</w:t>
      </w:r>
      <w:r w:rsidRPr="00B85C7B">
        <w:rPr>
          <w:rFonts w:ascii="inherit" w:eastAsia="Times New Roman" w:hAnsi="inherit" w:cs="Arial"/>
          <w:color w:val="292B2C"/>
          <w:sz w:val="24"/>
          <w:szCs w:val="24"/>
          <w:lang w:eastAsia="it-IT"/>
        </w:rPr>
        <w:t>attività in regime di convenzione o di accreditamento con enti pubblici</w:t>
      </w:r>
      <w:r w:rsidRPr="00B85C7B">
        <w:rPr>
          <w:rFonts w:ascii="inherit" w:eastAsia="Times New Roman" w:hAnsi="inherit" w:cs="Arial"/>
          <w:i/>
          <w:iCs/>
          <w:color w:val="292B2C"/>
          <w:sz w:val="24"/>
          <w:szCs w:val="24"/>
          <w:lang w:eastAsia="it-IT"/>
        </w:rPr>
        <w:t>”</w:t>
      </w:r>
      <w:r w:rsidRPr="00B85C7B">
        <w:rPr>
          <w:rFonts w:ascii="inherit" w:eastAsia="Times New Roman" w:hAnsi="inherit" w:cs="Arial"/>
          <w:color w:val="292B2C"/>
          <w:sz w:val="24"/>
          <w:szCs w:val="24"/>
          <w:lang w:eastAsia="it-IT"/>
        </w:rPr>
        <w:t>.</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Misurare i soggetti potenzialmente interessati ad assumere la qualifica di enti del terzo settore non è semplice, non disponendo di dati ufficiali aggregati, ma di sicuro le disposizioni interessano migliaia di enti.</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Interrogando il data base del registro Coni risultano aver correttamente completato la procedura di iscrizione, al 10 luglio 2019, 87.534 associazioni e società sportive dilettantistiche ma si tratta di una fotografia parziale, sia per i soggetti che potrebbero essere impegnati nel perfezionamento della procedura, sia per la presenza di organizzazioni, come le fondazioni sportive, che non possono essere iscritte nel citato registro ma che potrebbero diventare enti del terzo settore generici o imprese sociali.</w:t>
      </w:r>
    </w:p>
    <w:p w:rsidR="00B85C7B" w:rsidRPr="00B85C7B" w:rsidRDefault="00B85C7B" w:rsidP="00B85C7B">
      <w:pPr>
        <w:spacing w:after="100" w:afterAutospacing="1" w:line="240" w:lineRule="auto"/>
        <w:rPr>
          <w:rFonts w:ascii="inherit" w:eastAsia="Times New Roman" w:hAnsi="inherit" w:cs="Arial"/>
          <w:color w:val="292B2C"/>
          <w:sz w:val="24"/>
          <w:szCs w:val="24"/>
          <w:lang w:eastAsia="it-IT"/>
        </w:rPr>
      </w:pPr>
      <w:r w:rsidRPr="00B85C7B">
        <w:rPr>
          <w:rFonts w:ascii="inherit" w:eastAsia="Times New Roman" w:hAnsi="inherit" w:cs="Arial"/>
          <w:color w:val="292B2C"/>
          <w:sz w:val="24"/>
          <w:szCs w:val="24"/>
          <w:lang w:eastAsia="it-IT"/>
        </w:rPr>
        <w:t xml:space="preserve">Fonte: </w:t>
      </w:r>
      <w:hyperlink r:id="rId15" w:tgtFrame="_self" w:history="1">
        <w:r w:rsidRPr="00B85C7B">
          <w:rPr>
            <w:rFonts w:ascii="inherit" w:eastAsia="Times New Roman" w:hAnsi="inherit" w:cs="Arial"/>
            <w:color w:val="339966"/>
            <w:sz w:val="24"/>
            <w:szCs w:val="24"/>
            <w:u w:val="single"/>
            <w:lang w:eastAsia="it-IT"/>
          </w:rPr>
          <w:t>Cantiere terzo settore</w:t>
        </w:r>
      </w:hyperlink>
      <w:r w:rsidRPr="00B85C7B">
        <w:rPr>
          <w:rFonts w:ascii="inherit" w:eastAsia="Times New Roman" w:hAnsi="inherit" w:cs="Arial"/>
          <w:color w:val="292B2C"/>
          <w:sz w:val="24"/>
          <w:szCs w:val="24"/>
          <w:lang w:eastAsia="it-IT"/>
        </w:rPr>
        <w:t> </w:t>
      </w:r>
    </w:p>
    <w:p w:rsidR="00462FEF" w:rsidRDefault="00462FEF">
      <w:bookmarkStart w:id="0" w:name="_GoBack"/>
      <w:bookmarkEnd w:id="0"/>
    </w:p>
    <w:sectPr w:rsidR="00462F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B638E"/>
    <w:multiLevelType w:val="multilevel"/>
    <w:tmpl w:val="2D767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C7B"/>
    <w:rsid w:val="00462FEF"/>
    <w:rsid w:val="00B85C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E27FC-2DDB-47FB-9DFA-2AFD361E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85C7B"/>
    <w:pPr>
      <w:spacing w:after="161" w:line="240" w:lineRule="auto"/>
      <w:outlineLvl w:val="0"/>
    </w:pPr>
    <w:rPr>
      <w:rFonts w:ascii="inherit" w:eastAsia="Times New Roman" w:hAnsi="inherit" w:cs="Times New Roman"/>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85C7B"/>
    <w:rPr>
      <w:rFonts w:ascii="inherit" w:eastAsia="Times New Roman" w:hAnsi="inherit" w:cs="Times New Roman"/>
      <w:kern w:val="36"/>
      <w:sz w:val="48"/>
      <w:szCs w:val="48"/>
      <w:lang w:eastAsia="it-IT"/>
    </w:rPr>
  </w:style>
  <w:style w:type="character" w:styleId="Collegamentoipertestuale">
    <w:name w:val="Hyperlink"/>
    <w:basedOn w:val="Carpredefinitoparagrafo"/>
    <w:uiPriority w:val="99"/>
    <w:semiHidden/>
    <w:unhideWhenUsed/>
    <w:rsid w:val="00B85C7B"/>
    <w:rPr>
      <w:color w:val="0066CC"/>
      <w:u w:val="single"/>
      <w:shd w:val="clear" w:color="auto" w:fill="auto"/>
    </w:rPr>
  </w:style>
  <w:style w:type="character" w:styleId="Enfasigrassetto">
    <w:name w:val="Strong"/>
    <w:basedOn w:val="Carpredefinitoparagrafo"/>
    <w:uiPriority w:val="22"/>
    <w:qFormat/>
    <w:rsid w:val="00B85C7B"/>
    <w:rPr>
      <w:b/>
      <w:bCs/>
    </w:rPr>
  </w:style>
  <w:style w:type="paragraph" w:styleId="NormaleWeb">
    <w:name w:val="Normal (Web)"/>
    <w:basedOn w:val="Normale"/>
    <w:uiPriority w:val="99"/>
    <w:semiHidden/>
    <w:unhideWhenUsed/>
    <w:rsid w:val="00B85C7B"/>
    <w:pPr>
      <w:spacing w:after="100" w:afterAutospacing="1" w:line="240" w:lineRule="auto"/>
    </w:pPr>
    <w:rPr>
      <w:rFonts w:ascii="inherit" w:eastAsia="Times New Roman" w:hAnsi="inherit" w:cs="Times New Roman"/>
      <w:sz w:val="24"/>
      <w:szCs w:val="24"/>
      <w:lang w:eastAsia="it-IT"/>
    </w:rPr>
  </w:style>
  <w:style w:type="paragraph" w:customStyle="1" w:styleId="news-info">
    <w:name w:val="news-info"/>
    <w:basedOn w:val="Normale"/>
    <w:rsid w:val="00B85C7B"/>
    <w:pPr>
      <w:spacing w:after="0" w:line="240" w:lineRule="auto"/>
    </w:pPr>
    <w:rPr>
      <w:rFonts w:ascii="inherit" w:eastAsia="Times New Roman" w:hAnsi="inherit" w:cs="Times New Roman"/>
      <w:color w:val="6C6C6C"/>
      <w:sz w:val="24"/>
      <w:szCs w:val="24"/>
      <w:lang w:eastAsia="it-IT"/>
    </w:rPr>
  </w:style>
  <w:style w:type="character" w:styleId="Enfasicorsivo">
    <w:name w:val="Emphasis"/>
    <w:basedOn w:val="Carpredefinitoparagrafo"/>
    <w:uiPriority w:val="20"/>
    <w:qFormat/>
    <w:rsid w:val="00B85C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379842">
      <w:bodyDiv w:val="1"/>
      <w:marLeft w:val="0"/>
      <w:marRight w:val="0"/>
      <w:marTop w:val="0"/>
      <w:marBottom w:val="0"/>
      <w:divBdr>
        <w:top w:val="none" w:sz="0" w:space="0" w:color="auto"/>
        <w:left w:val="none" w:sz="0" w:space="0" w:color="auto"/>
        <w:bottom w:val="none" w:sz="0" w:space="0" w:color="auto"/>
        <w:right w:val="none" w:sz="0" w:space="0" w:color="auto"/>
      </w:divBdr>
      <w:divsChild>
        <w:div w:id="1007371498">
          <w:marLeft w:val="-225"/>
          <w:marRight w:val="-225"/>
          <w:marTop w:val="0"/>
          <w:marBottom w:val="0"/>
          <w:divBdr>
            <w:top w:val="none" w:sz="0" w:space="0" w:color="auto"/>
            <w:left w:val="none" w:sz="0" w:space="0" w:color="auto"/>
            <w:bottom w:val="none" w:sz="0" w:space="0" w:color="auto"/>
            <w:right w:val="none" w:sz="0" w:space="0" w:color="auto"/>
          </w:divBdr>
          <w:divsChild>
            <w:div w:id="1223056475">
              <w:marLeft w:val="0"/>
              <w:marRight w:val="0"/>
              <w:marTop w:val="0"/>
              <w:marBottom w:val="0"/>
              <w:divBdr>
                <w:top w:val="none" w:sz="0" w:space="0" w:color="auto"/>
                <w:left w:val="none" w:sz="0" w:space="0" w:color="auto"/>
                <w:bottom w:val="none" w:sz="0" w:space="0" w:color="auto"/>
                <w:right w:val="none" w:sz="0" w:space="0" w:color="auto"/>
              </w:divBdr>
              <w:divsChild>
                <w:div w:id="1559317614">
                  <w:marLeft w:val="0"/>
                  <w:marRight w:val="0"/>
                  <w:marTop w:val="0"/>
                  <w:marBottom w:val="0"/>
                  <w:divBdr>
                    <w:top w:val="none" w:sz="0" w:space="0" w:color="auto"/>
                    <w:left w:val="none" w:sz="0" w:space="0" w:color="auto"/>
                    <w:bottom w:val="none" w:sz="0" w:space="0" w:color="auto"/>
                    <w:right w:val="none" w:sz="0" w:space="0" w:color="auto"/>
                  </w:divBdr>
                  <w:divsChild>
                    <w:div w:id="87453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entrate.gov.it/wps/file/Nsilib/Nsi/Normativa+e+Prassi/Circolari/Archivio+circolari/Circolari+2018/Agosto+2018/Circolare+n+18+del+1+agosto+2018/Circolare+18E.pdf" TargetMode="External"/><Relationship Id="rId13" Type="http://schemas.openxmlformats.org/officeDocument/2006/relationships/hyperlink" Target="http://www.cantiereterzosettore.it/riforma/fiscalita-agevolazioni/imposte-e-tributi" TargetMode="External"/><Relationship Id="rId3" Type="http://schemas.openxmlformats.org/officeDocument/2006/relationships/settings" Target="settings.xml"/><Relationship Id="rId7" Type="http://schemas.openxmlformats.org/officeDocument/2006/relationships/hyperlink" Target="http://www.cantiereterzosettore.it/riforma/vita-associativa/runts-registro-unico-nazionale-del-terzo-settore" TargetMode="External"/><Relationship Id="rId12" Type="http://schemas.openxmlformats.org/officeDocument/2006/relationships/hyperlink" Target="http://www.cantiereterzosettore.it/riforma/donazion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ntiereterzosettore.it/riforma/ets-enti-del-terzo-settore/aps-associazione-di-promozione-sociale" TargetMode="External"/><Relationship Id="rId11" Type="http://schemas.openxmlformats.org/officeDocument/2006/relationships/hyperlink" Target="http://www.cantiereterzosettore.it/riforma/rapporto-con-pa/convenzioni-per-gestione-di-servizi" TargetMode="External"/><Relationship Id="rId5" Type="http://schemas.openxmlformats.org/officeDocument/2006/relationships/hyperlink" Target="http://www.cantiereterzosettore.it/riforma/ets-enti-del-terzo-settore/la-qualifica-di-ets" TargetMode="External"/><Relationship Id="rId15" Type="http://schemas.openxmlformats.org/officeDocument/2006/relationships/hyperlink" Target="http://www.cantiereterzosettore.it/" TargetMode="External"/><Relationship Id="rId10" Type="http://schemas.openxmlformats.org/officeDocument/2006/relationships/hyperlink" Target="https://www.aiccon.it/pubblicazione/173-terzo-settore-e-sport-dilettantistico/?fbclid=IwAR0R9fuIdF8WIFCKdGRaD5O_ygYxQi1RfOwrwvO1ARJiAWC_DyJfLPkO9AA" TargetMode="External"/><Relationship Id="rId4" Type="http://schemas.openxmlformats.org/officeDocument/2006/relationships/webSettings" Target="webSettings.xml"/><Relationship Id="rId9" Type="http://schemas.openxmlformats.org/officeDocument/2006/relationships/hyperlink" Target="https://www.camera.it/leg18/126?tab=&amp;leg=18&amp;idDocumento=1603-bis" TargetMode="External"/><Relationship Id="rId14" Type="http://schemas.openxmlformats.org/officeDocument/2006/relationships/hyperlink" Target="http://www.cantiereterzosettore.it/riforma/fiscalita-agevolazioni/sedi-e-local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1479</Words>
  <Characters>8436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 Bussolino</dc:creator>
  <cp:keywords/>
  <dc:description/>
  <cp:lastModifiedBy>Enrico Bussolino</cp:lastModifiedBy>
  <cp:revision>1</cp:revision>
  <dcterms:created xsi:type="dcterms:W3CDTF">2019-07-22T12:17:00Z</dcterms:created>
  <dcterms:modified xsi:type="dcterms:W3CDTF">2019-07-22T12:18:00Z</dcterms:modified>
</cp:coreProperties>
</file>