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12" w:rsidRPr="00A13712" w:rsidRDefault="00A13712" w:rsidP="00A13712">
      <w:pPr>
        <w:spacing w:after="161" w:line="240" w:lineRule="auto"/>
        <w:outlineLvl w:val="0"/>
        <w:rPr>
          <w:rFonts w:ascii="inherit" w:eastAsia="Times New Roman" w:hAnsi="inherit" w:cs="Arial"/>
          <w:color w:val="292B2C"/>
          <w:kern w:val="36"/>
          <w:sz w:val="48"/>
          <w:szCs w:val="48"/>
          <w:lang w:eastAsia="it-IT"/>
        </w:rPr>
      </w:pPr>
      <w:r w:rsidRPr="00A13712">
        <w:rPr>
          <w:rFonts w:ascii="inherit" w:eastAsia="Times New Roman" w:hAnsi="inherit" w:cs="Arial"/>
          <w:color w:val="292B2C"/>
          <w:kern w:val="36"/>
          <w:sz w:val="48"/>
          <w:szCs w:val="48"/>
          <w:lang w:eastAsia="it-IT"/>
        </w:rPr>
        <w:t xml:space="preserve">Enti pubblici e terzo settore, tra competizione e collaborazione </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i/>
          <w:iCs/>
          <w:color w:val="292B2C"/>
          <w:sz w:val="24"/>
          <w:szCs w:val="24"/>
          <w:lang w:eastAsia="it-IT"/>
        </w:rPr>
        <w:t>Un’analisi sul perché conviene a tutti attivare processi di co-progettazione, se questi vengono gestiti in modo corretto e trasparente. Costruire insieme gli interventi per la comunità produce notevoli vantaggi. Eccone alcuni</w:t>
      </w:r>
      <w:r w:rsidRPr="00A13712">
        <w:rPr>
          <w:rFonts w:ascii="inherit" w:eastAsia="Times New Roman" w:hAnsi="inherit" w:cs="Arial"/>
          <w:color w:val="292B2C"/>
          <w:sz w:val="24"/>
          <w:szCs w:val="24"/>
          <w:lang w:eastAsia="it-IT"/>
        </w:rPr>
        <w:t> </w:t>
      </w:r>
    </w:p>
    <w:p w:rsidR="00A13712" w:rsidRPr="00A13712" w:rsidRDefault="00A13712" w:rsidP="00A13712">
      <w:pPr>
        <w:spacing w:after="0" w:line="240" w:lineRule="auto"/>
        <w:rPr>
          <w:rFonts w:ascii="inherit" w:eastAsia="Times New Roman" w:hAnsi="inherit" w:cs="Arial"/>
          <w:color w:val="6C6C6C"/>
          <w:sz w:val="24"/>
          <w:szCs w:val="24"/>
          <w:lang w:eastAsia="it-IT"/>
        </w:rPr>
      </w:pPr>
      <w:r w:rsidRPr="00A13712">
        <w:rPr>
          <w:rFonts w:ascii="inherit" w:eastAsia="Times New Roman" w:hAnsi="inherit" w:cs="Arial"/>
          <w:color w:val="6C6C6C"/>
          <w:sz w:val="24"/>
          <w:szCs w:val="24"/>
          <w:lang w:eastAsia="it-IT"/>
        </w:rPr>
        <w:t xml:space="preserve">di </w:t>
      </w:r>
      <w:r w:rsidRPr="00A13712">
        <w:rPr>
          <w:rFonts w:ascii="inherit" w:eastAsia="Times New Roman" w:hAnsi="inherit" w:cs="Arial"/>
          <w:b/>
          <w:bCs/>
          <w:color w:val="6C6C6C"/>
          <w:sz w:val="24"/>
          <w:szCs w:val="24"/>
          <w:lang w:eastAsia="it-IT"/>
        </w:rPr>
        <w:t>Cantiere terzo settore</w:t>
      </w:r>
      <w:r w:rsidRPr="00A13712">
        <w:rPr>
          <w:rFonts w:ascii="inherit" w:eastAsia="Times New Roman" w:hAnsi="inherit" w:cs="Arial"/>
          <w:color w:val="6C6C6C"/>
          <w:sz w:val="24"/>
          <w:szCs w:val="24"/>
          <w:lang w:eastAsia="it-IT"/>
        </w:rPr>
        <w:t xml:space="preserve"> </w:t>
      </w:r>
    </w:p>
    <w:p w:rsidR="00A13712" w:rsidRPr="00A13712" w:rsidRDefault="00A13712" w:rsidP="00A13712">
      <w:pPr>
        <w:spacing w:after="0" w:line="240" w:lineRule="auto"/>
        <w:rPr>
          <w:rFonts w:ascii="inherit" w:eastAsia="Times New Roman" w:hAnsi="inherit" w:cs="Arial"/>
          <w:color w:val="6C6C6C"/>
          <w:sz w:val="24"/>
          <w:szCs w:val="24"/>
          <w:lang w:eastAsia="it-IT"/>
        </w:rPr>
      </w:pPr>
      <w:r w:rsidRPr="00A13712">
        <w:rPr>
          <w:rFonts w:ascii="inherit" w:eastAsia="Times New Roman" w:hAnsi="inherit" w:cs="Arial"/>
          <w:color w:val="6C6C6C"/>
          <w:sz w:val="24"/>
          <w:szCs w:val="24"/>
          <w:lang w:eastAsia="it-IT"/>
        </w:rPr>
        <w:t xml:space="preserve">18 Novembre 2019 </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Il rapporto tra Enti pubblici e Terzo settore ha accompagnato, con accenti e posizioni diverse, il dibattito di questi anni. Due le principali visioni. Da una parte, c’è chi considera queste relazioni simili a </w:t>
      </w:r>
      <w:r w:rsidRPr="00A13712">
        <w:rPr>
          <w:rFonts w:ascii="inherit" w:eastAsia="Times New Roman" w:hAnsi="inherit" w:cs="Arial"/>
          <w:b/>
          <w:bCs/>
          <w:color w:val="292B2C"/>
          <w:sz w:val="24"/>
          <w:szCs w:val="24"/>
          <w:lang w:eastAsia="it-IT"/>
        </w:rPr>
        <w:t>quelle di mercato</w:t>
      </w:r>
      <w:r w:rsidRPr="00A13712">
        <w:rPr>
          <w:rFonts w:ascii="inherit" w:eastAsia="Times New Roman" w:hAnsi="inherit" w:cs="Arial"/>
          <w:color w:val="292B2C"/>
          <w:sz w:val="24"/>
          <w:szCs w:val="24"/>
          <w:lang w:eastAsia="it-IT"/>
        </w:rPr>
        <w:t>, ritenendo che grazie alla competizione si possano garantire ai soggetti pubblici e dunque ai cittadini la disponibilità di servizi con il miglior rapporto qualità prezzo.</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Un’altra visione considera invece </w:t>
      </w:r>
      <w:r w:rsidRPr="00A13712">
        <w:rPr>
          <w:rFonts w:ascii="inherit" w:eastAsia="Times New Roman" w:hAnsi="inherit" w:cs="Arial"/>
          <w:b/>
          <w:bCs/>
          <w:color w:val="292B2C"/>
          <w:sz w:val="24"/>
          <w:szCs w:val="24"/>
          <w:lang w:eastAsia="it-IT"/>
        </w:rPr>
        <w:t>riduttiva l’omologazione delle relazioni tra Enti pubblici e Terzo settore ai rapporti di mercato</w:t>
      </w:r>
      <w:r w:rsidRPr="00A13712">
        <w:rPr>
          <w:rFonts w:ascii="inherit" w:eastAsia="Times New Roman" w:hAnsi="inherit" w:cs="Arial"/>
          <w:color w:val="292B2C"/>
          <w:sz w:val="24"/>
          <w:szCs w:val="24"/>
          <w:lang w:eastAsia="it-IT"/>
        </w:rPr>
        <w:t xml:space="preserve">. I motivi possono essere molteplici. In alcuni casi, il fatto di voler intraprendere interventi sperimentali e innovativi – quindi in territori inesplorati - infatti, rende poco praticabile la via della gara d’appalto; questo è il caso delle istruttorie di </w:t>
      </w:r>
      <w:proofErr w:type="spellStart"/>
      <w:r w:rsidRPr="00A13712">
        <w:rPr>
          <w:rFonts w:ascii="inherit" w:eastAsia="Times New Roman" w:hAnsi="inherit" w:cs="Arial"/>
          <w:color w:val="292B2C"/>
          <w:sz w:val="24"/>
          <w:szCs w:val="24"/>
          <w:lang w:eastAsia="it-IT"/>
        </w:rPr>
        <w:t>coprogettazione</w:t>
      </w:r>
      <w:proofErr w:type="spellEnd"/>
      <w:r w:rsidRPr="00A13712">
        <w:rPr>
          <w:rFonts w:ascii="inherit" w:eastAsia="Times New Roman" w:hAnsi="inherit" w:cs="Arial"/>
          <w:color w:val="292B2C"/>
          <w:sz w:val="24"/>
          <w:szCs w:val="24"/>
          <w:lang w:eastAsia="it-IT"/>
        </w:rPr>
        <w:t xml:space="preserve"> della legge 328/2000. In altri casi sarebbe invece inappropriato parlare di acquisto di servizi perché il terzo settore realizza, almeno in parte, un certo intervento in modo autonomo e con proprie risorse; e la relazione con il soggetto pubblico, in questo caso non identificabile come un approvvigionamento di servizi, nasce dalla libera volontà di entrambi di integrare reciprocamente le proprie azioni per perseguire al meglio i propri obiettivi. Sono questi i casi, ad esempio, dei “</w:t>
      </w:r>
      <w:r w:rsidRPr="00A13712">
        <w:rPr>
          <w:rFonts w:ascii="inherit" w:eastAsia="Times New Roman" w:hAnsi="inherit" w:cs="Arial"/>
          <w:b/>
          <w:bCs/>
          <w:color w:val="292B2C"/>
          <w:sz w:val="24"/>
          <w:szCs w:val="24"/>
          <w:lang w:eastAsia="it-IT"/>
        </w:rPr>
        <w:t>patti di sussidiarietà</w:t>
      </w:r>
      <w:r w:rsidRPr="00A13712">
        <w:rPr>
          <w:rFonts w:ascii="inherit" w:eastAsia="Times New Roman" w:hAnsi="inherit" w:cs="Arial"/>
          <w:color w:val="292B2C"/>
          <w:sz w:val="24"/>
          <w:szCs w:val="24"/>
          <w:lang w:eastAsia="it-IT"/>
        </w:rPr>
        <w:t xml:space="preserve">” delineati dalla legge 42/0212 della Regione Liguria, ma anche, in termini diversi, dei patti di collaborazione scaturiti dai tanti </w:t>
      </w:r>
      <w:r w:rsidRPr="00A13712">
        <w:rPr>
          <w:rFonts w:ascii="inherit" w:eastAsia="Times New Roman" w:hAnsi="inherit" w:cs="Arial"/>
          <w:b/>
          <w:bCs/>
          <w:color w:val="292B2C"/>
          <w:sz w:val="24"/>
          <w:szCs w:val="24"/>
          <w:lang w:eastAsia="it-IT"/>
        </w:rPr>
        <w:t>Regolamenti per l’amministrazione condivisa</w:t>
      </w:r>
      <w:r w:rsidRPr="00A13712">
        <w:rPr>
          <w:rFonts w:ascii="inherit" w:eastAsia="Times New Roman" w:hAnsi="inherit" w:cs="Arial"/>
          <w:color w:val="292B2C"/>
          <w:sz w:val="24"/>
          <w:szCs w:val="24"/>
          <w:lang w:eastAsia="it-IT"/>
        </w:rPr>
        <w:t xml:space="preserve"> approvati dai comuni in questi anni.</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In questo scenario, il Codice del Terzo settore e in particolare l’articolo 55 è intervenuto inaugurando una nuova stagione di esperienze collaborative.</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8"/>
          <w:szCs w:val="28"/>
          <w:lang w:eastAsia="it-IT"/>
        </w:rPr>
        <w:t>I nuovi strumenti giuridici offerti dalla riforma</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Il </w:t>
      </w:r>
      <w:hyperlink r:id="rId4" w:history="1">
        <w:r w:rsidRPr="00A13712">
          <w:rPr>
            <w:rFonts w:ascii="inherit" w:eastAsia="Times New Roman" w:hAnsi="inherit" w:cs="Arial"/>
            <w:color w:val="0066CC"/>
            <w:sz w:val="24"/>
            <w:szCs w:val="24"/>
            <w:u w:val="single"/>
            <w:lang w:eastAsia="it-IT"/>
          </w:rPr>
          <w:t>Codice del Terzo settore apre una nuova stagione di riflessioni</w:t>
        </w:r>
      </w:hyperlink>
      <w:r w:rsidRPr="00A13712">
        <w:rPr>
          <w:rFonts w:ascii="inherit" w:eastAsia="Times New Roman" w:hAnsi="inherit" w:cs="Arial"/>
          <w:color w:val="292B2C"/>
          <w:sz w:val="24"/>
          <w:szCs w:val="24"/>
          <w:lang w:eastAsia="it-IT"/>
        </w:rPr>
        <w:t xml:space="preserve"> su questo tema definendo un insieme di soggetti che persegue l’interesse generale – il Terzo settore, appunto – iscritti ad uno specifico albo, </w:t>
      </w:r>
      <w:r w:rsidRPr="00A13712">
        <w:rPr>
          <w:rFonts w:ascii="inherit" w:eastAsia="Times New Roman" w:hAnsi="inherit" w:cs="Arial"/>
          <w:i/>
          <w:iCs/>
          <w:color w:val="292B2C"/>
          <w:sz w:val="24"/>
          <w:szCs w:val="24"/>
          <w:lang w:eastAsia="it-IT"/>
        </w:rPr>
        <w:t>partner</w:t>
      </w:r>
      <w:r w:rsidRPr="00A13712">
        <w:rPr>
          <w:rFonts w:ascii="inherit" w:eastAsia="Times New Roman" w:hAnsi="inherit" w:cs="Arial"/>
          <w:color w:val="292B2C"/>
          <w:sz w:val="24"/>
          <w:szCs w:val="24"/>
          <w:lang w:eastAsia="it-IT"/>
        </w:rPr>
        <w:t xml:space="preserve"> di enti pubblici con i quali condividono il medesimo orientamento a perseguire l’interesse generale. Questa impostazione si colloca entro l’orizzonte tracciato dall’art. 118, quarto comma, della Costituzione che introduce il principio di </w:t>
      </w:r>
      <w:r w:rsidRPr="00A13712">
        <w:rPr>
          <w:rFonts w:ascii="inherit" w:eastAsia="Times New Roman" w:hAnsi="inherit" w:cs="Arial"/>
          <w:b/>
          <w:bCs/>
          <w:color w:val="292B2C"/>
          <w:sz w:val="24"/>
          <w:szCs w:val="24"/>
          <w:lang w:eastAsia="it-IT"/>
        </w:rPr>
        <w:t>sussidiarietà “orizzontale”</w:t>
      </w:r>
      <w:r w:rsidRPr="00A13712">
        <w:rPr>
          <w:rFonts w:ascii="inherit" w:eastAsia="Times New Roman" w:hAnsi="inherit" w:cs="Arial"/>
          <w:color w:val="292B2C"/>
          <w:sz w:val="24"/>
          <w:szCs w:val="24"/>
          <w:lang w:eastAsia="it-IT"/>
        </w:rPr>
        <w:t xml:space="preserve"> come ordinatore delle relazioni tra corpi dello Stato e corpi sociali.</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I due orientamenti – l’omologazione al mercato e la rivendicazione di una specificità del terzo settore – hanno dato vita ad una dialettica, di cui ancor oggi è difficile delineare il punto di assestamento finale.</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8"/>
          <w:szCs w:val="28"/>
          <w:lang w:eastAsia="it-IT"/>
        </w:rPr>
        <w:t>SCEGLIERE LA STRADA GIUSTA: IL BIVIO TRA COMPETERE O COLLABORARE</w:t>
      </w:r>
      <w:r w:rsidRPr="00A13712">
        <w:rPr>
          <w:rFonts w:ascii="inherit" w:eastAsia="Times New Roman" w:hAnsi="inherit" w:cs="Arial"/>
          <w:b/>
          <w:bCs/>
          <w:color w:val="292B2C"/>
          <w:sz w:val="24"/>
          <w:szCs w:val="24"/>
          <w:lang w:eastAsia="it-IT"/>
        </w:rPr>
        <w:t xml:space="preserve"> </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Immaginiamo un bivio, che porta ad esiti diversi e a </w:t>
      </w:r>
      <w:r w:rsidRPr="00A13712">
        <w:rPr>
          <w:rFonts w:ascii="inherit" w:eastAsia="Times New Roman" w:hAnsi="inherit" w:cs="Arial"/>
          <w:b/>
          <w:bCs/>
          <w:color w:val="292B2C"/>
          <w:sz w:val="24"/>
          <w:szCs w:val="24"/>
          <w:lang w:eastAsia="it-IT"/>
        </w:rPr>
        <w:t>strumenti amministrativi conseguenti</w:t>
      </w:r>
      <w:r w:rsidRPr="00A13712">
        <w:rPr>
          <w:rFonts w:ascii="inherit" w:eastAsia="Times New Roman" w:hAnsi="inherit" w:cs="Arial"/>
          <w:color w:val="292B2C"/>
          <w:sz w:val="24"/>
          <w:szCs w:val="24"/>
          <w:lang w:eastAsia="it-IT"/>
        </w:rPr>
        <w:t>. Un pezzo di strada è comune: le relazioni fra PA ed Enti di Terzo Settore (</w:t>
      </w:r>
      <w:proofErr w:type="spellStart"/>
      <w:r w:rsidRPr="00A13712">
        <w:rPr>
          <w:rFonts w:ascii="inherit" w:eastAsia="Times New Roman" w:hAnsi="inherit" w:cs="Arial"/>
          <w:color w:val="292B2C"/>
          <w:sz w:val="24"/>
          <w:szCs w:val="24"/>
          <w:lang w:eastAsia="it-IT"/>
        </w:rPr>
        <w:t>Ets</w:t>
      </w:r>
      <w:proofErr w:type="spellEnd"/>
      <w:r w:rsidRPr="00A13712">
        <w:rPr>
          <w:rFonts w:ascii="inherit" w:eastAsia="Times New Roman" w:hAnsi="inherit" w:cs="Arial"/>
          <w:color w:val="292B2C"/>
          <w:sz w:val="24"/>
          <w:szCs w:val="24"/>
          <w:lang w:eastAsia="it-IT"/>
        </w:rPr>
        <w:t xml:space="preserve">) sono ispirate ai principi di perseguimento dell’interesse pubblico, di efficacia, di trasparenza (e quindi evidenza pubblica), </w:t>
      </w:r>
      <w:r w:rsidRPr="00A13712">
        <w:rPr>
          <w:rFonts w:ascii="inherit" w:eastAsia="Times New Roman" w:hAnsi="inherit" w:cs="Arial"/>
          <w:color w:val="292B2C"/>
          <w:sz w:val="24"/>
          <w:szCs w:val="24"/>
          <w:lang w:eastAsia="it-IT"/>
        </w:rPr>
        <w:lastRenderedPageBreak/>
        <w:t xml:space="preserve">di parità di trattamento e, più in generale, di buon andamento della </w:t>
      </w:r>
      <w:proofErr w:type="spellStart"/>
      <w:r w:rsidRPr="00A13712">
        <w:rPr>
          <w:rFonts w:ascii="inherit" w:eastAsia="Times New Roman" w:hAnsi="inherit" w:cs="Arial"/>
          <w:color w:val="292B2C"/>
          <w:sz w:val="24"/>
          <w:szCs w:val="24"/>
          <w:lang w:eastAsia="it-IT"/>
        </w:rPr>
        <w:t>Pa</w:t>
      </w:r>
      <w:proofErr w:type="spellEnd"/>
      <w:r w:rsidRPr="00A13712">
        <w:rPr>
          <w:rFonts w:ascii="inherit" w:eastAsia="Times New Roman" w:hAnsi="inherit" w:cs="Arial"/>
          <w:color w:val="292B2C"/>
          <w:sz w:val="24"/>
          <w:szCs w:val="24"/>
          <w:lang w:eastAsia="it-IT"/>
        </w:rPr>
        <w:t>, ai sensi dell’art. 97 della Costituzione. Ma di lì in avanti, si aprono due strade diverse e alternative rispetto a come enti pubblici e terzo settore possono relazionarsi.</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8"/>
          <w:szCs w:val="28"/>
          <w:lang w:eastAsia="it-IT"/>
        </w:rPr>
        <w:t>Terzo settore e mercato: il paradigma competitivo</w:t>
      </w:r>
      <w:r w:rsidRPr="00A13712">
        <w:rPr>
          <w:rFonts w:ascii="inherit" w:eastAsia="Times New Roman" w:hAnsi="inherit" w:cs="Arial"/>
          <w:color w:val="292B2C"/>
          <w:sz w:val="28"/>
          <w:szCs w:val="28"/>
          <w:lang w:eastAsia="it-IT"/>
        </w:rPr>
        <w:t> </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Se ci si muove nell’ottica dell’affidamento di servizi verso un fornitore e quindi di una competizione tra soggetti tra loro concorrenti e controinteressati rispetto alla pubblica amministrazione, la strada è sicuramente quella dell’</w:t>
      </w:r>
      <w:r w:rsidRPr="00A13712">
        <w:rPr>
          <w:rFonts w:ascii="inherit" w:eastAsia="Times New Roman" w:hAnsi="inherit" w:cs="Arial"/>
          <w:b/>
          <w:bCs/>
          <w:color w:val="292B2C"/>
          <w:sz w:val="24"/>
          <w:szCs w:val="24"/>
          <w:lang w:eastAsia="it-IT"/>
        </w:rPr>
        <w:t xml:space="preserve">affidamento attraverso una gara di appalto </w:t>
      </w:r>
      <w:r w:rsidRPr="00A13712">
        <w:rPr>
          <w:rFonts w:ascii="inherit" w:eastAsia="Times New Roman" w:hAnsi="inherit" w:cs="Arial"/>
          <w:color w:val="292B2C"/>
          <w:sz w:val="24"/>
          <w:szCs w:val="24"/>
          <w:lang w:eastAsia="it-IT"/>
        </w:rPr>
        <w:t>o concessione.</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In questo caso la pubblica amministrazione acquista beni o servizi, dei quali ha definito le caratteristiche, dal migliore offerente sul mercato. L’esito dell’affidamento è un processo di selezione in cui i potenziali partecipanti sono concorrenti, uno dei quali risulta infine vincitore. Nel paradigma competitivo la pubblica amministrazione e il partecipante ad una gara che interloquiscano sulle caratteristiche del servizio generalmente – al di fuori delle ipotesi previste dal vigente Codice dei contratti (consultazioni preliminari di mercato, dialogo competitivo e procedure di partenariato pubblico-privato) - compiono un’attività di dubbia liceità. I riferimenti normativi che governano gli aspetti procedurali sono contenuti nel decreto legislativo 50/2016.</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8"/>
          <w:szCs w:val="28"/>
          <w:lang w:eastAsia="it-IT"/>
        </w:rPr>
        <w:t>Costruire insieme gli interventi: il paradigma collaborativo</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Se l’ambito è quello delle </w:t>
      </w:r>
      <w:r w:rsidRPr="00A13712">
        <w:rPr>
          <w:rFonts w:ascii="inherit" w:eastAsia="Times New Roman" w:hAnsi="inherit" w:cs="Arial"/>
          <w:b/>
          <w:bCs/>
          <w:color w:val="292B2C"/>
          <w:sz w:val="24"/>
          <w:szCs w:val="24"/>
          <w:lang w:eastAsia="it-IT"/>
        </w:rPr>
        <w:t>relazioni collaborative</w:t>
      </w:r>
      <w:r w:rsidRPr="00A13712">
        <w:rPr>
          <w:rFonts w:ascii="inherit" w:eastAsia="Times New Roman" w:hAnsi="inherit" w:cs="Arial"/>
          <w:color w:val="292B2C"/>
          <w:sz w:val="24"/>
          <w:szCs w:val="24"/>
          <w:lang w:eastAsia="it-IT"/>
        </w:rPr>
        <w:t xml:space="preserve">, gli stessi principi generali prima richiamati sono realizzati entro un procedimento amministrativo, governato dalla legge 241/1990, che include negli orientamenti delle politiche pubbliche le risorse del territorio; ciò significa dare vita ad un </w:t>
      </w:r>
      <w:r w:rsidRPr="00A13712">
        <w:rPr>
          <w:rFonts w:ascii="inherit" w:eastAsia="Times New Roman" w:hAnsi="inherit" w:cs="Arial"/>
          <w:b/>
          <w:bCs/>
          <w:color w:val="292B2C"/>
          <w:sz w:val="24"/>
          <w:szCs w:val="24"/>
          <w:lang w:eastAsia="it-IT"/>
        </w:rPr>
        <w:t>lavoro comune tra enti pubblici e enti di terzo settore</w:t>
      </w:r>
      <w:r w:rsidRPr="00A13712">
        <w:rPr>
          <w:rFonts w:ascii="inherit" w:eastAsia="Times New Roman" w:hAnsi="inherit" w:cs="Arial"/>
          <w:color w:val="292B2C"/>
          <w:sz w:val="24"/>
          <w:szCs w:val="24"/>
          <w:lang w:eastAsia="it-IT"/>
        </w:rPr>
        <w:t xml:space="preserve"> per condividere la lettura dei bisogni, definire gli obiettivi, elaborare la programmazione degli interventi, individuare le risorse necessarie, per giungere quindi alla progettazione e infine alla realizzazione dei concreti interventi da attivare.</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La pubblica amministrazione, quindi, riconosce e coordina le energie presenti sul territorio utili ad affrontare un determinato problema, eventualmente allocando anche a tale scopo delle risorse utili a potenziarle per raggiungere gli obiettivi condivisi prefissati.</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L’esito – auspicabile – è l’integrazione e la ricombinazione innovativa delle risorse portate da più soggetti, pur senza escludere che, talora tale processo concertato fallisca, l’amministrazione riservi a sé la facoltà di selezionare alcuni partecipanti escludendone altri. In questa visione, è fondamentale e fondante il fatto che, nella massima trasparenza, pubblica amministrazione e soggetti della comunità locale discutano sui bisogni e sulle modalità di risposta.</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I riferimenti normativi sono costituiti sul fronte delle procedure dalla legge 241/1990 e, nel merito, o dall’art. 55 del Codice del Terzo settore o, per le istruttorie di </w:t>
      </w:r>
      <w:proofErr w:type="spellStart"/>
      <w:r w:rsidRPr="00A13712">
        <w:rPr>
          <w:rFonts w:ascii="inherit" w:eastAsia="Times New Roman" w:hAnsi="inherit" w:cs="Arial"/>
          <w:color w:val="292B2C"/>
          <w:sz w:val="24"/>
          <w:szCs w:val="24"/>
          <w:lang w:eastAsia="it-IT"/>
        </w:rPr>
        <w:t>coprogettazione</w:t>
      </w:r>
      <w:proofErr w:type="spellEnd"/>
      <w:r w:rsidRPr="00A13712">
        <w:rPr>
          <w:rFonts w:ascii="inherit" w:eastAsia="Times New Roman" w:hAnsi="inherit" w:cs="Arial"/>
          <w:color w:val="292B2C"/>
          <w:sz w:val="24"/>
          <w:szCs w:val="24"/>
          <w:lang w:eastAsia="it-IT"/>
        </w:rPr>
        <w:t xml:space="preserve"> su servizi sperimentali e innovativi, il </w:t>
      </w:r>
      <w:proofErr w:type="spellStart"/>
      <w:r w:rsidRPr="00A13712">
        <w:rPr>
          <w:rFonts w:ascii="inherit" w:eastAsia="Times New Roman" w:hAnsi="inherit" w:cs="Arial"/>
          <w:color w:val="292B2C"/>
          <w:sz w:val="24"/>
          <w:szCs w:val="24"/>
          <w:lang w:eastAsia="it-IT"/>
        </w:rPr>
        <w:t>d.p.c.m</w:t>
      </w:r>
      <w:proofErr w:type="spellEnd"/>
      <w:r w:rsidRPr="00A13712">
        <w:rPr>
          <w:rFonts w:ascii="inherit" w:eastAsia="Times New Roman" w:hAnsi="inherit" w:cs="Arial"/>
          <w:color w:val="292B2C"/>
          <w:sz w:val="24"/>
          <w:szCs w:val="24"/>
          <w:lang w:eastAsia="it-IT"/>
        </w:rPr>
        <w:t>. 30/3/2001 applicativo della 328/2000 e le leggi regionali che l’hanno recepita.</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8"/>
          <w:szCs w:val="28"/>
          <w:lang w:eastAsia="it-IT"/>
        </w:rPr>
        <w:t>UN CAMBIO DI PROSPETTIVA</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Ma, se quello sopra delineato rappresenta lo scenario generale, cosa sta avvenendo nella pratica? A questo proposito è bene evidenziare come in questi mesi siano in atto due fenomeni per nulla scontati.</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4"/>
          <w:szCs w:val="24"/>
          <w:lang w:eastAsia="it-IT"/>
        </w:rPr>
        <w:lastRenderedPageBreak/>
        <w:t xml:space="preserve">Il primo è che cresce la volontà di </w:t>
      </w:r>
      <w:proofErr w:type="spellStart"/>
      <w:r w:rsidRPr="00A13712">
        <w:rPr>
          <w:rFonts w:ascii="inherit" w:eastAsia="Times New Roman" w:hAnsi="inherit" w:cs="Arial"/>
          <w:b/>
          <w:bCs/>
          <w:color w:val="292B2C"/>
          <w:sz w:val="24"/>
          <w:szCs w:val="24"/>
          <w:lang w:eastAsia="it-IT"/>
        </w:rPr>
        <w:t>coprogettare</w:t>
      </w:r>
      <w:proofErr w:type="spellEnd"/>
      <w:r w:rsidRPr="00A13712">
        <w:rPr>
          <w:rFonts w:ascii="inherit" w:eastAsia="Times New Roman" w:hAnsi="inherit" w:cs="Arial"/>
          <w:b/>
          <w:bCs/>
          <w:color w:val="292B2C"/>
          <w:sz w:val="24"/>
          <w:szCs w:val="24"/>
          <w:lang w:eastAsia="it-IT"/>
        </w:rPr>
        <w:t xml:space="preserve">. </w:t>
      </w:r>
      <w:r w:rsidRPr="00A13712">
        <w:rPr>
          <w:rFonts w:ascii="inherit" w:eastAsia="Times New Roman" w:hAnsi="inherit" w:cs="Arial"/>
          <w:color w:val="292B2C"/>
          <w:sz w:val="24"/>
          <w:szCs w:val="24"/>
          <w:lang w:eastAsia="it-IT"/>
        </w:rPr>
        <w:t xml:space="preserve">Negli ultimi due anni </w:t>
      </w:r>
      <w:r w:rsidRPr="00A13712">
        <w:rPr>
          <w:rFonts w:ascii="inherit" w:eastAsia="Times New Roman" w:hAnsi="inherit" w:cs="Arial"/>
          <w:b/>
          <w:bCs/>
          <w:color w:val="292B2C"/>
          <w:sz w:val="24"/>
          <w:szCs w:val="24"/>
          <w:lang w:eastAsia="it-IT"/>
        </w:rPr>
        <w:t>il numero di territori che hanno iniziato ad utilizzare procedimenti di tipo collaborativo è aumentato come non mai</w:t>
      </w:r>
      <w:r w:rsidRPr="00A13712">
        <w:rPr>
          <w:rFonts w:ascii="inherit" w:eastAsia="Times New Roman" w:hAnsi="inherit" w:cs="Arial"/>
          <w:color w:val="292B2C"/>
          <w:sz w:val="24"/>
          <w:szCs w:val="24"/>
          <w:lang w:eastAsia="it-IT"/>
        </w:rPr>
        <w:t>. Grandi metropoli come Torino, Milano e Bologna e piccoli centri in diverse regioni italiane; esperienze storiche come Lecco e Bergamo ed enti locali che sino a quel momento non avevano mai utilizzato strumenti collaborativi. Perché sta avvenendo? Oltre all’influenza delle novità legislative, ci sono diverse motivazioni che riguardano soprattutto la valenza culturale e sociale di questi processi che spesso si verificano in assenza di elementi esterni come la convenienza fiscale, normativa, o di altro genere. Insomma, la co-progettazione non è scelta opportunisticamente come “scorciatoia” rispetto agli appalti, ma solo perché risponde in modo più adeguato ad alcune esigenze.</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Il secondo è che </w:t>
      </w:r>
      <w:r w:rsidRPr="00A13712">
        <w:rPr>
          <w:rFonts w:ascii="inherit" w:eastAsia="Times New Roman" w:hAnsi="inherit" w:cs="Arial"/>
          <w:b/>
          <w:bCs/>
          <w:color w:val="292B2C"/>
          <w:sz w:val="24"/>
          <w:szCs w:val="24"/>
          <w:lang w:eastAsia="it-IT"/>
        </w:rPr>
        <w:t>questa stagione di collaborazione nasce spesso come frutto di un’iniziativa assunta o comunque fortemente voluta dalla pubblica amministrazione</w:t>
      </w:r>
      <w:r w:rsidRPr="00A13712">
        <w:rPr>
          <w:rFonts w:ascii="inherit" w:eastAsia="Times New Roman" w:hAnsi="inherit" w:cs="Arial"/>
          <w:color w:val="292B2C"/>
          <w:sz w:val="24"/>
          <w:szCs w:val="24"/>
          <w:lang w:eastAsia="it-IT"/>
        </w:rPr>
        <w:t xml:space="preserve">. È importante sottolinearlo perché il </w:t>
      </w:r>
      <w:proofErr w:type="spellStart"/>
      <w:r w:rsidRPr="00A13712">
        <w:rPr>
          <w:rFonts w:ascii="inherit" w:eastAsia="Times New Roman" w:hAnsi="inherit" w:cs="Arial"/>
          <w:i/>
          <w:iCs/>
          <w:color w:val="292B2C"/>
          <w:sz w:val="24"/>
          <w:szCs w:val="24"/>
          <w:lang w:eastAsia="it-IT"/>
        </w:rPr>
        <w:t>setting</w:t>
      </w:r>
      <w:proofErr w:type="spellEnd"/>
      <w:r w:rsidRPr="00A13712">
        <w:rPr>
          <w:rFonts w:ascii="inherit" w:eastAsia="Times New Roman" w:hAnsi="inherit" w:cs="Arial"/>
          <w:color w:val="292B2C"/>
          <w:sz w:val="24"/>
          <w:szCs w:val="24"/>
          <w:lang w:eastAsia="it-IT"/>
        </w:rPr>
        <w:t xml:space="preserve"> degli eventi di cui stiamo parlando non è quello – tipico forse di stagioni passate – in cui il terzo settore rivendicava a gran voce una maggior considerazione verso un ente pubblico riluttante; ma, più spesso, quello di un ente pubblico che constata l’impraticabilità di perseguire le proprie finalità di interesse generale laddove le relazioni sul territorio siano orientate da mercato, competizione, </w:t>
      </w:r>
      <w:proofErr w:type="spellStart"/>
      <w:r w:rsidRPr="00A13712">
        <w:rPr>
          <w:rFonts w:ascii="inherit" w:eastAsia="Times New Roman" w:hAnsi="inherit" w:cs="Arial"/>
          <w:color w:val="292B2C"/>
          <w:sz w:val="24"/>
          <w:szCs w:val="24"/>
          <w:lang w:eastAsia="it-IT"/>
        </w:rPr>
        <w:t>controinteresse</w:t>
      </w:r>
      <w:proofErr w:type="spellEnd"/>
      <w:r w:rsidRPr="00A13712">
        <w:rPr>
          <w:rFonts w:ascii="inherit" w:eastAsia="Times New Roman" w:hAnsi="inherit" w:cs="Arial"/>
          <w:color w:val="292B2C"/>
          <w:sz w:val="24"/>
          <w:szCs w:val="24"/>
          <w:lang w:eastAsia="it-IT"/>
        </w:rPr>
        <w:t>.</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8"/>
          <w:szCs w:val="28"/>
          <w:lang w:eastAsia="it-IT"/>
        </w:rPr>
        <w:t>TRE CRITERI PER COLLABORARE DAVVERO</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Nel momento in cui la collaborazione si diffonde è utile provare a definire, al di là degli aspetti formali, quali siano gli elementi caratterizzanti della collaborazione. Proviamo ad individuarne tre.</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1 – </w:t>
      </w:r>
      <w:r w:rsidRPr="00A13712">
        <w:rPr>
          <w:rFonts w:ascii="inherit" w:eastAsia="Times New Roman" w:hAnsi="inherit" w:cs="Arial"/>
          <w:b/>
          <w:bCs/>
          <w:color w:val="292B2C"/>
          <w:sz w:val="24"/>
          <w:szCs w:val="24"/>
          <w:lang w:eastAsia="it-IT"/>
        </w:rPr>
        <w:t>Condividere analisi e soluzioni</w:t>
      </w:r>
      <w:r w:rsidRPr="00A13712">
        <w:rPr>
          <w:rFonts w:ascii="inherit" w:eastAsia="Times New Roman" w:hAnsi="inherit" w:cs="Arial"/>
          <w:color w:val="292B2C"/>
          <w:sz w:val="24"/>
          <w:szCs w:val="24"/>
          <w:lang w:eastAsia="it-IT"/>
        </w:rPr>
        <w:t xml:space="preserve">. La </w:t>
      </w:r>
      <w:r w:rsidRPr="00A13712">
        <w:rPr>
          <w:rFonts w:ascii="inherit" w:eastAsia="Times New Roman" w:hAnsi="inherit" w:cs="Arial"/>
          <w:b/>
          <w:bCs/>
          <w:color w:val="292B2C"/>
          <w:sz w:val="24"/>
          <w:szCs w:val="24"/>
          <w:lang w:eastAsia="it-IT"/>
        </w:rPr>
        <w:t>lettura del bisogno, del contesto e la definizione delle modalità di intervento</w:t>
      </w:r>
      <w:r w:rsidRPr="00A13712">
        <w:rPr>
          <w:rFonts w:ascii="inherit" w:eastAsia="Times New Roman" w:hAnsi="inherit" w:cs="Arial"/>
          <w:color w:val="292B2C"/>
          <w:sz w:val="24"/>
          <w:szCs w:val="24"/>
          <w:lang w:eastAsia="it-IT"/>
        </w:rPr>
        <w:t xml:space="preserve">, non sono operati da un singolo soggetto (generalmente dalla pubblica amministrazione istituzionalmente responsabile), ma sono </w:t>
      </w:r>
      <w:r w:rsidRPr="00A13712">
        <w:rPr>
          <w:rFonts w:ascii="inherit" w:eastAsia="Times New Roman" w:hAnsi="inherit" w:cs="Arial"/>
          <w:b/>
          <w:bCs/>
          <w:color w:val="292B2C"/>
          <w:sz w:val="24"/>
          <w:szCs w:val="24"/>
          <w:lang w:eastAsia="it-IT"/>
        </w:rPr>
        <w:t>frutto di uno sforzo congiunto di più soggetti</w:t>
      </w:r>
      <w:r w:rsidRPr="00A13712">
        <w:rPr>
          <w:rFonts w:ascii="inherit" w:eastAsia="Times New Roman" w:hAnsi="inherit" w:cs="Arial"/>
          <w:color w:val="292B2C"/>
          <w:sz w:val="24"/>
          <w:szCs w:val="24"/>
          <w:lang w:eastAsia="it-IT"/>
        </w:rPr>
        <w:t xml:space="preserve"> che si contaminano vicendevolmente con le proprie visioni e sensibilità.</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2 – </w:t>
      </w:r>
      <w:r w:rsidRPr="00A13712">
        <w:rPr>
          <w:rFonts w:ascii="inherit" w:eastAsia="Times New Roman" w:hAnsi="inherit" w:cs="Arial"/>
          <w:b/>
          <w:bCs/>
          <w:color w:val="292B2C"/>
          <w:sz w:val="24"/>
          <w:szCs w:val="24"/>
          <w:lang w:eastAsia="it-IT"/>
        </w:rPr>
        <w:t xml:space="preserve">Senza soluzione di continuità, dalla </w:t>
      </w:r>
      <w:proofErr w:type="spellStart"/>
      <w:r w:rsidRPr="00A13712">
        <w:rPr>
          <w:rFonts w:ascii="inherit" w:eastAsia="Times New Roman" w:hAnsi="inherit" w:cs="Arial"/>
          <w:b/>
          <w:bCs/>
          <w:color w:val="292B2C"/>
          <w:sz w:val="24"/>
          <w:szCs w:val="24"/>
          <w:lang w:eastAsia="it-IT"/>
        </w:rPr>
        <w:t>coprogettazione</w:t>
      </w:r>
      <w:proofErr w:type="spellEnd"/>
      <w:r w:rsidRPr="00A13712">
        <w:rPr>
          <w:rFonts w:ascii="inherit" w:eastAsia="Times New Roman" w:hAnsi="inherit" w:cs="Arial"/>
          <w:b/>
          <w:bCs/>
          <w:color w:val="292B2C"/>
          <w:sz w:val="24"/>
          <w:szCs w:val="24"/>
          <w:lang w:eastAsia="it-IT"/>
        </w:rPr>
        <w:t xml:space="preserve"> alla gestione</w:t>
      </w:r>
      <w:r w:rsidRPr="00A13712">
        <w:rPr>
          <w:rFonts w:ascii="inherit" w:eastAsia="Times New Roman" w:hAnsi="inherit" w:cs="Arial"/>
          <w:color w:val="292B2C"/>
          <w:sz w:val="24"/>
          <w:szCs w:val="24"/>
          <w:lang w:eastAsia="it-IT"/>
        </w:rPr>
        <w:t xml:space="preserve">. Può succedere che, per un malinteso senso di trasparenza, si chieda un’ampia collaborazione per co-progettare, per poi mettere in gara i servizi frutto della </w:t>
      </w:r>
      <w:proofErr w:type="spellStart"/>
      <w:r w:rsidRPr="00A13712">
        <w:rPr>
          <w:rFonts w:ascii="inherit" w:eastAsia="Times New Roman" w:hAnsi="inherit" w:cs="Arial"/>
          <w:color w:val="292B2C"/>
          <w:sz w:val="24"/>
          <w:szCs w:val="24"/>
          <w:lang w:eastAsia="it-IT"/>
        </w:rPr>
        <w:t>coprogettazione</w:t>
      </w:r>
      <w:proofErr w:type="spellEnd"/>
      <w:r w:rsidRPr="00A13712">
        <w:rPr>
          <w:rFonts w:ascii="inherit" w:eastAsia="Times New Roman" w:hAnsi="inherit" w:cs="Arial"/>
          <w:color w:val="292B2C"/>
          <w:sz w:val="24"/>
          <w:szCs w:val="24"/>
          <w:lang w:eastAsia="it-IT"/>
        </w:rPr>
        <w:t xml:space="preserve">. Si tratta di una prassi da evitare, in quanto il risultato in questi casi è generalmente il depotenziamento della co-progettazione, favorendo la destinazione delle risorse migliori al momento della competizione. Deve essere chiarito sin dal bando che </w:t>
      </w:r>
      <w:proofErr w:type="spellStart"/>
      <w:r w:rsidRPr="00A13712">
        <w:rPr>
          <w:rFonts w:ascii="inherit" w:eastAsia="Times New Roman" w:hAnsi="inherit" w:cs="Arial"/>
          <w:color w:val="292B2C"/>
          <w:sz w:val="24"/>
          <w:szCs w:val="24"/>
          <w:lang w:eastAsia="it-IT"/>
        </w:rPr>
        <w:t>coprogettazione</w:t>
      </w:r>
      <w:proofErr w:type="spellEnd"/>
      <w:r w:rsidRPr="00A13712">
        <w:rPr>
          <w:rFonts w:ascii="inherit" w:eastAsia="Times New Roman" w:hAnsi="inherit" w:cs="Arial"/>
          <w:color w:val="292B2C"/>
          <w:sz w:val="24"/>
          <w:szCs w:val="24"/>
          <w:lang w:eastAsia="it-IT"/>
        </w:rPr>
        <w:t xml:space="preserve"> e gestione sono parte di una medesima procedura.</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3 – </w:t>
      </w:r>
      <w:r w:rsidRPr="00A13712">
        <w:rPr>
          <w:rFonts w:ascii="inherit" w:eastAsia="Times New Roman" w:hAnsi="inherit" w:cs="Arial"/>
          <w:b/>
          <w:bCs/>
          <w:color w:val="292B2C"/>
          <w:sz w:val="24"/>
          <w:szCs w:val="24"/>
          <w:lang w:eastAsia="it-IT"/>
        </w:rPr>
        <w:t>Integrare le risorse</w:t>
      </w:r>
      <w:r w:rsidRPr="00A13712">
        <w:rPr>
          <w:rFonts w:ascii="inherit" w:eastAsia="Times New Roman" w:hAnsi="inherit" w:cs="Arial"/>
          <w:color w:val="292B2C"/>
          <w:sz w:val="24"/>
          <w:szCs w:val="24"/>
          <w:lang w:eastAsia="it-IT"/>
        </w:rPr>
        <w:t>. Sarebbe opportuno che da questo processo non venga individuato un solo soggetto, ma si individui un insieme di proposte dalle quali partire per comporre un progetto in grado di integrarle. Ciò, beninteso, non in un’ottica conservativa – “spartitoria” (ognuno mantiene il suo), ma nell’ambito di uno sforzo di innovazione teso a meglio perseguire un interesse generale.</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Una volta identificate le caratteristiche della collaborazione si tratto ora di individuare delle buone ragioni per collaborare; si esamineranno prima i rischi della competizione e poi i vantaggi della collaborazione.</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8"/>
          <w:szCs w:val="28"/>
          <w:lang w:eastAsia="it-IT"/>
        </w:rPr>
        <w:t>I RISCHI DELLA CONCORRENZA</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Alla prova dei fatti, la competizione spesso non ha portato con sé gli auspicati vantaggi in termini di risparmio economico, ma al contrario </w:t>
      </w:r>
      <w:r w:rsidRPr="00A13712">
        <w:rPr>
          <w:rFonts w:ascii="inherit" w:eastAsia="Times New Roman" w:hAnsi="inherit" w:cs="Arial"/>
          <w:b/>
          <w:bCs/>
          <w:color w:val="292B2C"/>
          <w:sz w:val="24"/>
          <w:szCs w:val="24"/>
          <w:lang w:eastAsia="it-IT"/>
        </w:rPr>
        <w:t>decadimento nella qualità delle prestazioni</w:t>
      </w:r>
      <w:r w:rsidRPr="00A13712">
        <w:rPr>
          <w:rFonts w:ascii="inherit" w:eastAsia="Times New Roman" w:hAnsi="inherit" w:cs="Arial"/>
          <w:color w:val="292B2C"/>
          <w:sz w:val="24"/>
          <w:szCs w:val="24"/>
          <w:lang w:eastAsia="it-IT"/>
        </w:rPr>
        <w:t xml:space="preserve">, </w:t>
      </w:r>
      <w:r w:rsidRPr="00A13712">
        <w:rPr>
          <w:rFonts w:ascii="inherit" w:eastAsia="Times New Roman" w:hAnsi="inherit" w:cs="Arial"/>
          <w:b/>
          <w:bCs/>
          <w:color w:val="292B2C"/>
          <w:sz w:val="24"/>
          <w:szCs w:val="24"/>
          <w:lang w:eastAsia="it-IT"/>
        </w:rPr>
        <w:t>peggioramento delle condizioni di lavoro</w:t>
      </w:r>
      <w:r w:rsidRPr="00A13712">
        <w:rPr>
          <w:rFonts w:ascii="inherit" w:eastAsia="Times New Roman" w:hAnsi="inherit" w:cs="Arial"/>
          <w:color w:val="292B2C"/>
          <w:sz w:val="24"/>
          <w:szCs w:val="24"/>
          <w:lang w:eastAsia="it-IT"/>
        </w:rPr>
        <w:t xml:space="preserve">, </w:t>
      </w:r>
      <w:proofErr w:type="spellStart"/>
      <w:r w:rsidRPr="00A13712">
        <w:rPr>
          <w:rFonts w:ascii="inherit" w:eastAsia="Times New Roman" w:hAnsi="inherit" w:cs="Arial"/>
          <w:b/>
          <w:bCs/>
          <w:i/>
          <w:iCs/>
          <w:color w:val="292B2C"/>
          <w:sz w:val="24"/>
          <w:szCs w:val="24"/>
          <w:lang w:eastAsia="it-IT"/>
        </w:rPr>
        <w:t>crowding</w:t>
      </w:r>
      <w:proofErr w:type="spellEnd"/>
      <w:r w:rsidRPr="00A13712">
        <w:rPr>
          <w:rFonts w:ascii="inherit" w:eastAsia="Times New Roman" w:hAnsi="inherit" w:cs="Arial"/>
          <w:b/>
          <w:bCs/>
          <w:i/>
          <w:iCs/>
          <w:color w:val="292B2C"/>
          <w:sz w:val="24"/>
          <w:szCs w:val="24"/>
          <w:lang w:eastAsia="it-IT"/>
        </w:rPr>
        <w:t xml:space="preserve"> out</w:t>
      </w:r>
      <w:r w:rsidRPr="00A13712">
        <w:rPr>
          <w:rFonts w:ascii="inherit" w:eastAsia="Times New Roman" w:hAnsi="inherit" w:cs="Arial"/>
          <w:b/>
          <w:bCs/>
          <w:color w:val="292B2C"/>
          <w:sz w:val="24"/>
          <w:szCs w:val="24"/>
          <w:lang w:eastAsia="it-IT"/>
        </w:rPr>
        <w:t xml:space="preserve"> dei soggetti migliori</w:t>
      </w:r>
      <w:r w:rsidRPr="00A13712">
        <w:rPr>
          <w:rFonts w:ascii="inherit" w:eastAsia="Times New Roman" w:hAnsi="inherit" w:cs="Arial"/>
          <w:color w:val="292B2C"/>
          <w:sz w:val="24"/>
          <w:szCs w:val="24"/>
          <w:lang w:eastAsia="it-IT"/>
        </w:rPr>
        <w:t xml:space="preserve"> (quelli attenti alla qualità e all’innovazione, spesso costose e non premiate dai meccanismi di gara) </w:t>
      </w:r>
      <w:r w:rsidRPr="00A13712">
        <w:rPr>
          <w:rFonts w:ascii="inherit" w:eastAsia="Times New Roman" w:hAnsi="inherit" w:cs="Arial"/>
          <w:b/>
          <w:bCs/>
          <w:color w:val="292B2C"/>
          <w:sz w:val="24"/>
          <w:szCs w:val="24"/>
          <w:lang w:eastAsia="it-IT"/>
        </w:rPr>
        <w:t xml:space="preserve">a vantaggio dei </w:t>
      </w:r>
      <w:r w:rsidRPr="00A13712">
        <w:rPr>
          <w:rFonts w:ascii="inherit" w:eastAsia="Times New Roman" w:hAnsi="inherit" w:cs="Arial"/>
          <w:b/>
          <w:bCs/>
          <w:color w:val="292B2C"/>
          <w:sz w:val="24"/>
          <w:szCs w:val="24"/>
          <w:lang w:eastAsia="it-IT"/>
        </w:rPr>
        <w:lastRenderedPageBreak/>
        <w:t>soggetti più spregiudicati</w:t>
      </w:r>
      <w:r w:rsidRPr="00A13712">
        <w:rPr>
          <w:rFonts w:ascii="inherit" w:eastAsia="Times New Roman" w:hAnsi="inherit" w:cs="Arial"/>
          <w:color w:val="292B2C"/>
          <w:sz w:val="24"/>
          <w:szCs w:val="24"/>
          <w:lang w:eastAsia="it-IT"/>
        </w:rPr>
        <w:t xml:space="preserve">, </w:t>
      </w:r>
      <w:r w:rsidRPr="00A13712">
        <w:rPr>
          <w:rFonts w:ascii="inherit" w:eastAsia="Times New Roman" w:hAnsi="inherit" w:cs="Arial"/>
          <w:b/>
          <w:bCs/>
          <w:color w:val="292B2C"/>
          <w:sz w:val="24"/>
          <w:szCs w:val="24"/>
          <w:lang w:eastAsia="it-IT"/>
        </w:rPr>
        <w:t>disinvestimento nei servizi</w:t>
      </w:r>
      <w:r w:rsidRPr="00A13712">
        <w:rPr>
          <w:rFonts w:ascii="inherit" w:eastAsia="Times New Roman" w:hAnsi="inherit" w:cs="Arial"/>
          <w:color w:val="292B2C"/>
          <w:sz w:val="24"/>
          <w:szCs w:val="24"/>
          <w:lang w:eastAsia="it-IT"/>
        </w:rPr>
        <w:t xml:space="preserve"> (è improbabile investire se si ha la prospettiva di essere sostituiti in breve tempo da altri), </w:t>
      </w:r>
      <w:r w:rsidRPr="00A13712">
        <w:rPr>
          <w:rFonts w:ascii="inherit" w:eastAsia="Times New Roman" w:hAnsi="inherit" w:cs="Arial"/>
          <w:b/>
          <w:bCs/>
          <w:color w:val="292B2C"/>
          <w:sz w:val="24"/>
          <w:szCs w:val="24"/>
          <w:lang w:eastAsia="it-IT"/>
        </w:rPr>
        <w:t>distruzione di risorse sociali potenzialmente integrabili in un sistema di interventi</w:t>
      </w:r>
      <w:r w:rsidRPr="00A13712">
        <w:rPr>
          <w:rFonts w:ascii="inherit" w:eastAsia="Times New Roman" w:hAnsi="inherit" w:cs="Arial"/>
          <w:color w:val="292B2C"/>
          <w:sz w:val="24"/>
          <w:szCs w:val="24"/>
          <w:lang w:eastAsia="it-IT"/>
        </w:rPr>
        <w:t xml:space="preserve"> ma sconfitte nella competizione, </w:t>
      </w:r>
      <w:r w:rsidRPr="00A13712">
        <w:rPr>
          <w:rFonts w:ascii="inherit" w:eastAsia="Times New Roman" w:hAnsi="inherit" w:cs="Arial"/>
          <w:b/>
          <w:bCs/>
          <w:color w:val="292B2C"/>
          <w:sz w:val="24"/>
          <w:szCs w:val="24"/>
          <w:lang w:eastAsia="it-IT"/>
        </w:rPr>
        <w:t xml:space="preserve">poca propensione a “fare sistema” </w:t>
      </w:r>
      <w:r w:rsidRPr="00A13712">
        <w:rPr>
          <w:rFonts w:ascii="inherit" w:eastAsia="Times New Roman" w:hAnsi="inherit" w:cs="Arial"/>
          <w:color w:val="292B2C"/>
          <w:sz w:val="24"/>
          <w:szCs w:val="24"/>
          <w:lang w:eastAsia="it-IT"/>
        </w:rPr>
        <w:t xml:space="preserve">(dal momento che le proprie risorse, capacità e relazioni sono un capitale “privato” da giocare nell’agone competitivo e non da mettere a disposizione di soggetti che risultano essere potenziali concorrenti), progressivo </w:t>
      </w:r>
      <w:r w:rsidRPr="00A13712">
        <w:rPr>
          <w:rFonts w:ascii="inherit" w:eastAsia="Times New Roman" w:hAnsi="inherit" w:cs="Arial"/>
          <w:b/>
          <w:bCs/>
          <w:color w:val="292B2C"/>
          <w:sz w:val="24"/>
          <w:szCs w:val="24"/>
          <w:lang w:eastAsia="it-IT"/>
        </w:rPr>
        <w:t>svilimento delle organizzazioni di terzo settore</w:t>
      </w:r>
      <w:r w:rsidRPr="00A13712">
        <w:rPr>
          <w:rFonts w:ascii="inherit" w:eastAsia="Times New Roman" w:hAnsi="inherit" w:cs="Arial"/>
          <w:color w:val="292B2C"/>
          <w:sz w:val="24"/>
          <w:szCs w:val="24"/>
          <w:lang w:eastAsia="it-IT"/>
        </w:rPr>
        <w:t xml:space="preserve"> che tendono a mortificare la partecipazione alla programmazione e alla progettazione dei servizi concentrandosi sulla gestione.</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8"/>
          <w:szCs w:val="28"/>
          <w:lang w:eastAsia="it-IT"/>
        </w:rPr>
        <w:t>PERCHÉ CONVIENE CO-PROGETTARE</w:t>
      </w:r>
      <w:r w:rsidRPr="00A13712">
        <w:rPr>
          <w:rFonts w:ascii="inherit" w:eastAsia="Times New Roman" w:hAnsi="inherit" w:cs="Arial"/>
          <w:b/>
          <w:bCs/>
          <w:color w:val="292B2C"/>
          <w:sz w:val="24"/>
          <w:szCs w:val="24"/>
          <w:lang w:eastAsia="it-IT"/>
        </w:rPr>
        <w:t xml:space="preserve"> </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Le migliori esperienze di amministrazione collaborativa indicano con chiarezza quali siano gli </w:t>
      </w:r>
      <w:r w:rsidRPr="00A13712">
        <w:rPr>
          <w:rFonts w:ascii="inherit" w:eastAsia="Times New Roman" w:hAnsi="inherit" w:cs="Arial"/>
          <w:b/>
          <w:bCs/>
          <w:color w:val="292B2C"/>
          <w:sz w:val="24"/>
          <w:szCs w:val="24"/>
          <w:lang w:eastAsia="it-IT"/>
        </w:rPr>
        <w:t>esiti positivi della “co-progettazione in azione”</w:t>
      </w:r>
      <w:r w:rsidRPr="00A13712">
        <w:rPr>
          <w:rFonts w:ascii="inherit" w:eastAsia="Times New Roman" w:hAnsi="inherit" w:cs="Arial"/>
          <w:color w:val="292B2C"/>
          <w:sz w:val="24"/>
          <w:szCs w:val="24"/>
          <w:lang w:eastAsia="it-IT"/>
        </w:rPr>
        <w:t>.</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La collaborazione, oltre ad essere, come si è visto, coerente con la cultura dei servizi (il “lavoro di rete”, il “partenariato”, gli “interventi sistemici e integrati” sono termini, presenti in ogni progettazione, che chiaramente fanno riferimento ad un universo concettuale collaborativo) </w:t>
      </w:r>
      <w:r w:rsidRPr="00A13712">
        <w:rPr>
          <w:rFonts w:ascii="inherit" w:eastAsia="Times New Roman" w:hAnsi="inherit" w:cs="Arial"/>
          <w:b/>
          <w:bCs/>
          <w:color w:val="292B2C"/>
          <w:sz w:val="24"/>
          <w:szCs w:val="24"/>
          <w:lang w:eastAsia="it-IT"/>
        </w:rPr>
        <w:t>favorisce l’investimento e il conferimento di risorse</w:t>
      </w:r>
      <w:r w:rsidRPr="00A13712">
        <w:rPr>
          <w:rFonts w:ascii="inherit" w:eastAsia="Times New Roman" w:hAnsi="inherit" w:cs="Arial"/>
          <w:color w:val="292B2C"/>
          <w:sz w:val="24"/>
          <w:szCs w:val="24"/>
          <w:lang w:eastAsia="it-IT"/>
        </w:rPr>
        <w:t xml:space="preserve"> per delineare al meglio il sistema degli interventi, </w:t>
      </w:r>
      <w:r w:rsidRPr="00A13712">
        <w:rPr>
          <w:rFonts w:ascii="inherit" w:eastAsia="Times New Roman" w:hAnsi="inherit" w:cs="Arial"/>
          <w:b/>
          <w:bCs/>
          <w:color w:val="292B2C"/>
          <w:sz w:val="24"/>
          <w:szCs w:val="24"/>
          <w:lang w:eastAsia="it-IT"/>
        </w:rPr>
        <w:t>somma le risorse migliori di ciascuno</w:t>
      </w:r>
      <w:r w:rsidRPr="00A13712">
        <w:rPr>
          <w:rFonts w:ascii="inherit" w:eastAsia="Times New Roman" w:hAnsi="inherit" w:cs="Arial"/>
          <w:color w:val="292B2C"/>
          <w:sz w:val="24"/>
          <w:szCs w:val="24"/>
          <w:lang w:eastAsia="it-IT"/>
        </w:rPr>
        <w:t xml:space="preserve"> invece di mortificare tutte le competenze di soggetti diversi dall’unico vincitore di una competizione.</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4"/>
          <w:szCs w:val="24"/>
          <w:lang w:eastAsia="it-IT"/>
        </w:rPr>
        <w:t>La collaborazione porta a innovazione</w:t>
      </w:r>
      <w:r w:rsidRPr="00A13712">
        <w:rPr>
          <w:rFonts w:ascii="inherit" w:eastAsia="Times New Roman" w:hAnsi="inherit" w:cs="Arial"/>
          <w:color w:val="292B2C"/>
          <w:sz w:val="24"/>
          <w:szCs w:val="24"/>
          <w:lang w:eastAsia="it-IT"/>
        </w:rPr>
        <w:t>: interventi prima non presenti – perché mai pensati o perché comunque improponibili in assenza di un’alleanza estesa – sono intrapresi.</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4"/>
          <w:szCs w:val="24"/>
          <w:lang w:eastAsia="it-IT"/>
        </w:rPr>
        <w:t>La collaborazione porta a corresponsabilità</w:t>
      </w:r>
      <w:r w:rsidRPr="00A13712">
        <w:rPr>
          <w:rFonts w:ascii="inherit" w:eastAsia="Times New Roman" w:hAnsi="inherit" w:cs="Arial"/>
          <w:color w:val="292B2C"/>
          <w:sz w:val="24"/>
          <w:szCs w:val="24"/>
          <w:lang w:eastAsia="it-IT"/>
        </w:rPr>
        <w:t xml:space="preserve"> sui servizi e sul reperimento delle risorse per realizzarli – economiche, di strumenti, di immobili – tra Ente pubblico e Terzo settore. Una impresa appaltatrice chiede di essere pagata per le prestazioni svolte, non è un soggetto con cui condividere e affrontare il problema della mancanza di risorse; un soggetto che abbia condiviso l’intero percorso può esserlo. E ciò significa, nella pratica, Enti pubblici e Terzo settore che investono insieme nella ricerca delle risorse necessarie, ad esempio impegnandosi nella progettazione europea o rivolgendosi insieme a delle fondazioni.</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4"/>
          <w:szCs w:val="24"/>
          <w:lang w:eastAsia="it-IT"/>
        </w:rPr>
        <w:t>La collaborazione porta alla costruzione di capitale sociale</w:t>
      </w:r>
      <w:r w:rsidRPr="00A13712">
        <w:rPr>
          <w:rFonts w:ascii="inherit" w:eastAsia="Times New Roman" w:hAnsi="inherit" w:cs="Arial"/>
          <w:color w:val="292B2C"/>
          <w:sz w:val="24"/>
          <w:szCs w:val="24"/>
          <w:lang w:eastAsia="it-IT"/>
        </w:rPr>
        <w:t>, che è qualcosa di più di un servizio ben fatto: è un patrimonio di relazioni, legami, fiducia, magari sperimentate in un certo ambito, che risultano preziosi in una pluralità di altre situazioni.</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4"/>
          <w:szCs w:val="24"/>
          <w:lang w:eastAsia="it-IT"/>
        </w:rPr>
        <w:t>La collaborazione porta ad una maggiore capacità e propensione a fare sistema</w:t>
      </w:r>
      <w:r w:rsidRPr="00A13712">
        <w:rPr>
          <w:rFonts w:ascii="inherit" w:eastAsia="Times New Roman" w:hAnsi="inherit" w:cs="Arial"/>
          <w:color w:val="292B2C"/>
          <w:sz w:val="24"/>
          <w:szCs w:val="24"/>
          <w:lang w:eastAsia="it-IT"/>
        </w:rPr>
        <w:t>, sia tra enti di terzo settore – ad esempio con collaborazioni strutturate tra cooperazione, associazionismo e volontariato - sia coinvolgendo soggetti diversi, dai comitati di cittadini alle imprese del territorio.</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b/>
          <w:bCs/>
          <w:color w:val="292B2C"/>
          <w:sz w:val="24"/>
          <w:szCs w:val="24"/>
          <w:lang w:eastAsia="it-IT"/>
        </w:rPr>
        <w:t>La collaborazione porta all’arricchimento e potenziamento degli interventi</w:t>
      </w:r>
      <w:r w:rsidRPr="00A13712">
        <w:rPr>
          <w:rFonts w:ascii="inherit" w:eastAsia="Times New Roman" w:hAnsi="inherit" w:cs="Arial"/>
          <w:color w:val="292B2C"/>
          <w:sz w:val="24"/>
          <w:szCs w:val="24"/>
          <w:lang w:eastAsia="it-IT"/>
        </w:rPr>
        <w:t>, grazie all’ampliamento delle risorse messe a sistema, con la possibilità di combinare e integrare aspetti diversi quali ad esempio welfare, lavoro, casa, relazione, ecc., superando in questo modo uno dei limiti spesso attribuiti agli interventi e consistente nella frammentazione e nell’incapacità di considerare i bisogni della persona nel suo complesso.</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xml:space="preserve">La collaborazione, infine, contribuisce anche a ritrovare il </w:t>
      </w:r>
      <w:r w:rsidRPr="00A13712">
        <w:rPr>
          <w:rFonts w:ascii="inherit" w:eastAsia="Times New Roman" w:hAnsi="inherit" w:cs="Arial"/>
          <w:b/>
          <w:bCs/>
          <w:color w:val="292B2C"/>
          <w:sz w:val="24"/>
          <w:szCs w:val="24"/>
          <w:lang w:eastAsia="it-IT"/>
        </w:rPr>
        <w:t>senso e l’entusiasmo del proprio lavoro</w:t>
      </w:r>
      <w:r w:rsidRPr="00A13712">
        <w:rPr>
          <w:rFonts w:ascii="inherit" w:eastAsia="Times New Roman" w:hAnsi="inherit" w:cs="Arial"/>
          <w:color w:val="292B2C"/>
          <w:sz w:val="24"/>
          <w:szCs w:val="24"/>
          <w:lang w:eastAsia="it-IT"/>
        </w:rPr>
        <w:t xml:space="preserve">. Chi lavora in settori di interesse generale, sia nell’ente pubblico che nel Terzo settore, non lo ha scelto per ritrovarsi oppresso dalla burocrazia o per diventare il crocevia di contenziosi; anzi considera (a ragione) tutto ciò come un insopportabile drenaggio di energie che vorrebbe dedicare </w:t>
      </w:r>
      <w:r w:rsidRPr="00A13712">
        <w:rPr>
          <w:rFonts w:ascii="inherit" w:eastAsia="Times New Roman" w:hAnsi="inherit" w:cs="Arial"/>
          <w:color w:val="292B2C"/>
          <w:sz w:val="24"/>
          <w:szCs w:val="24"/>
          <w:lang w:eastAsia="it-IT"/>
        </w:rPr>
        <w:lastRenderedPageBreak/>
        <w:t>ad altro, come elemento che mina il senso del suo lavoro, che lo allontana dall’investire tempo e capacità nel progettare e realizzare interventi a favore dei cittadini.</w: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Avvertire che i propri sforzi hanno senso, che si è aperta la possibilità di essere protagonisti di una stagione innovativa e stimolate, è il punto di partenza per mobilitare energie e entusiasmo verso nuove esperienze collaborative.</w:t>
      </w:r>
    </w:p>
    <w:p w:rsidR="00A13712" w:rsidRPr="00A13712" w:rsidRDefault="00A13712" w:rsidP="00A13712">
      <w:pPr>
        <w:spacing w:after="0"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pict>
          <v:rect id="_x0000_i1025" style="width:0;height:0" o:hralign="center" o:hrstd="t" o:hr="t" fillcolor="#a0a0a0" stroked="f"/>
        </w:pict>
      </w:r>
    </w:p>
    <w:p w:rsidR="00A13712" w:rsidRPr="00A13712" w:rsidRDefault="00A13712" w:rsidP="00A13712">
      <w:pPr>
        <w:spacing w:after="100" w:afterAutospacing="1" w:line="240" w:lineRule="auto"/>
        <w:rPr>
          <w:rFonts w:ascii="inherit" w:eastAsia="Times New Roman" w:hAnsi="inherit" w:cs="Arial"/>
          <w:color w:val="292B2C"/>
          <w:sz w:val="24"/>
          <w:szCs w:val="24"/>
          <w:lang w:eastAsia="it-IT"/>
        </w:rPr>
      </w:pPr>
      <w:r w:rsidRPr="00A13712">
        <w:rPr>
          <w:rFonts w:ascii="inherit" w:eastAsia="Times New Roman" w:hAnsi="inherit" w:cs="Arial"/>
          <w:color w:val="292B2C"/>
          <w:sz w:val="24"/>
          <w:szCs w:val="24"/>
          <w:lang w:eastAsia="it-IT"/>
        </w:rPr>
        <w:t>* Il testo è un estratto dei materiali didattici messi a disposizione per il Modulo 8 del programma formativo nazionale </w:t>
      </w:r>
      <w:proofErr w:type="spellStart"/>
      <w:r w:rsidRPr="00A13712">
        <w:rPr>
          <w:rFonts w:ascii="inherit" w:eastAsia="Times New Roman" w:hAnsi="inherit" w:cs="Arial"/>
          <w:color w:val="292B2C"/>
          <w:sz w:val="24"/>
          <w:szCs w:val="24"/>
          <w:lang w:eastAsia="it-IT"/>
        </w:rPr>
        <w:fldChar w:fldCharType="begin"/>
      </w:r>
      <w:r w:rsidRPr="00A13712">
        <w:rPr>
          <w:rFonts w:ascii="inherit" w:eastAsia="Times New Roman" w:hAnsi="inherit" w:cs="Arial"/>
          <w:color w:val="292B2C"/>
          <w:sz w:val="24"/>
          <w:szCs w:val="24"/>
          <w:lang w:eastAsia="it-IT"/>
        </w:rPr>
        <w:instrText xml:space="preserve"> HYPERLINK "https://www.cantiereterzosettore.it/progetto" </w:instrText>
      </w:r>
      <w:r w:rsidRPr="00A13712">
        <w:rPr>
          <w:rFonts w:ascii="inherit" w:eastAsia="Times New Roman" w:hAnsi="inherit" w:cs="Arial"/>
          <w:color w:val="292B2C"/>
          <w:sz w:val="24"/>
          <w:szCs w:val="24"/>
          <w:lang w:eastAsia="it-IT"/>
        </w:rPr>
        <w:fldChar w:fldCharType="separate"/>
      </w:r>
      <w:r w:rsidRPr="00A13712">
        <w:rPr>
          <w:rFonts w:ascii="inherit" w:eastAsia="Times New Roman" w:hAnsi="inherit" w:cs="Arial"/>
          <w:color w:val="0066CC"/>
          <w:sz w:val="24"/>
          <w:szCs w:val="24"/>
          <w:u w:val="single"/>
          <w:lang w:eastAsia="it-IT"/>
        </w:rPr>
        <w:t>Capacit'Azione</w:t>
      </w:r>
      <w:proofErr w:type="spellEnd"/>
      <w:r w:rsidRPr="00A13712">
        <w:rPr>
          <w:rFonts w:ascii="inherit" w:eastAsia="Times New Roman" w:hAnsi="inherit" w:cs="Arial"/>
          <w:color w:val="292B2C"/>
          <w:sz w:val="24"/>
          <w:szCs w:val="24"/>
          <w:lang w:eastAsia="it-IT"/>
        </w:rPr>
        <w:fldChar w:fldCharType="end"/>
      </w:r>
      <w:r w:rsidRPr="00A13712">
        <w:rPr>
          <w:rFonts w:ascii="inherit" w:eastAsia="Times New Roman" w:hAnsi="inherit" w:cs="Arial"/>
          <w:color w:val="292B2C"/>
          <w:sz w:val="24"/>
          <w:szCs w:val="24"/>
          <w:lang w:eastAsia="it-IT"/>
        </w:rPr>
        <w:t xml:space="preserve"> su "</w:t>
      </w:r>
      <w:hyperlink r:id="rId5" w:history="1">
        <w:r w:rsidRPr="00A13712">
          <w:rPr>
            <w:rFonts w:ascii="inherit" w:eastAsia="Times New Roman" w:hAnsi="inherit" w:cs="Arial"/>
            <w:color w:val="0066CC"/>
            <w:sz w:val="24"/>
            <w:szCs w:val="24"/>
            <w:u w:val="single"/>
            <w:lang w:eastAsia="it-IT"/>
          </w:rPr>
          <w:t>Sussidiarietà e rapporti con la Pubblica amministrazione, co-programmazione, co-progettazione, forme di convenzionamento, accreditamento e affidamento dei servizi</w:t>
        </w:r>
      </w:hyperlink>
      <w:r w:rsidRPr="00A13712">
        <w:rPr>
          <w:rFonts w:ascii="inherit" w:eastAsia="Times New Roman" w:hAnsi="inherit" w:cs="Arial"/>
          <w:color w:val="292B2C"/>
          <w:sz w:val="24"/>
          <w:szCs w:val="24"/>
          <w:lang w:eastAsia="it-IT"/>
        </w:rPr>
        <w:t>"</w:t>
      </w:r>
    </w:p>
    <w:p w:rsidR="00BF2935" w:rsidRDefault="00BF2935">
      <w:bookmarkStart w:id="0" w:name="_GoBack"/>
      <w:bookmarkEnd w:id="0"/>
    </w:p>
    <w:sectPr w:rsidR="00BF29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12"/>
    <w:rsid w:val="00A13712"/>
    <w:rsid w:val="00BF2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3B664-0528-48AE-B85B-45657EBE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13712"/>
    <w:pPr>
      <w:spacing w:after="161" w:line="240" w:lineRule="auto"/>
      <w:outlineLvl w:val="0"/>
    </w:pPr>
    <w:rPr>
      <w:rFonts w:ascii="inherit" w:eastAsia="Times New Roman" w:hAnsi="inherit" w:cs="Times New Roman"/>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3712"/>
    <w:rPr>
      <w:rFonts w:ascii="inherit" w:eastAsia="Times New Roman" w:hAnsi="inherit" w:cs="Times New Roman"/>
      <w:kern w:val="36"/>
      <w:sz w:val="48"/>
      <w:szCs w:val="48"/>
      <w:lang w:eastAsia="it-IT"/>
    </w:rPr>
  </w:style>
  <w:style w:type="character" w:styleId="Collegamentoipertestuale">
    <w:name w:val="Hyperlink"/>
    <w:basedOn w:val="Carpredefinitoparagrafo"/>
    <w:uiPriority w:val="99"/>
    <w:semiHidden/>
    <w:unhideWhenUsed/>
    <w:rsid w:val="00A13712"/>
    <w:rPr>
      <w:color w:val="0066CC"/>
      <w:u w:val="single"/>
      <w:shd w:val="clear" w:color="auto" w:fill="auto"/>
    </w:rPr>
  </w:style>
  <w:style w:type="character" w:styleId="Enfasigrassetto">
    <w:name w:val="Strong"/>
    <w:basedOn w:val="Carpredefinitoparagrafo"/>
    <w:uiPriority w:val="22"/>
    <w:qFormat/>
    <w:rsid w:val="00A13712"/>
    <w:rPr>
      <w:b/>
      <w:bCs/>
    </w:rPr>
  </w:style>
  <w:style w:type="paragraph" w:styleId="NormaleWeb">
    <w:name w:val="Normal (Web)"/>
    <w:basedOn w:val="Normale"/>
    <w:uiPriority w:val="99"/>
    <w:semiHidden/>
    <w:unhideWhenUsed/>
    <w:rsid w:val="00A13712"/>
    <w:pPr>
      <w:spacing w:after="100" w:afterAutospacing="1" w:line="240" w:lineRule="auto"/>
    </w:pPr>
    <w:rPr>
      <w:rFonts w:ascii="inherit" w:eastAsia="Times New Roman" w:hAnsi="inherit" w:cs="Times New Roman"/>
      <w:sz w:val="24"/>
      <w:szCs w:val="24"/>
      <w:lang w:eastAsia="it-IT"/>
    </w:rPr>
  </w:style>
  <w:style w:type="paragraph" w:customStyle="1" w:styleId="news-info">
    <w:name w:val="news-info"/>
    <w:basedOn w:val="Normale"/>
    <w:rsid w:val="00A13712"/>
    <w:pPr>
      <w:spacing w:after="0" w:line="240" w:lineRule="auto"/>
    </w:pPr>
    <w:rPr>
      <w:rFonts w:ascii="inherit" w:eastAsia="Times New Roman" w:hAnsi="inherit" w:cs="Times New Roman"/>
      <w:color w:val="6C6C6C"/>
      <w:sz w:val="24"/>
      <w:szCs w:val="24"/>
      <w:lang w:eastAsia="it-IT"/>
    </w:rPr>
  </w:style>
  <w:style w:type="character" w:styleId="Enfasicorsivo">
    <w:name w:val="Emphasis"/>
    <w:basedOn w:val="Carpredefinitoparagrafo"/>
    <w:uiPriority w:val="20"/>
    <w:qFormat/>
    <w:rsid w:val="00A13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3271">
      <w:bodyDiv w:val="1"/>
      <w:marLeft w:val="0"/>
      <w:marRight w:val="0"/>
      <w:marTop w:val="0"/>
      <w:marBottom w:val="0"/>
      <w:divBdr>
        <w:top w:val="none" w:sz="0" w:space="0" w:color="auto"/>
        <w:left w:val="none" w:sz="0" w:space="0" w:color="auto"/>
        <w:bottom w:val="none" w:sz="0" w:space="0" w:color="auto"/>
        <w:right w:val="none" w:sz="0" w:space="0" w:color="auto"/>
      </w:divBdr>
      <w:divsChild>
        <w:div w:id="2113167188">
          <w:marLeft w:val="-225"/>
          <w:marRight w:val="-225"/>
          <w:marTop w:val="0"/>
          <w:marBottom w:val="0"/>
          <w:divBdr>
            <w:top w:val="none" w:sz="0" w:space="0" w:color="auto"/>
            <w:left w:val="none" w:sz="0" w:space="0" w:color="auto"/>
            <w:bottom w:val="none" w:sz="0" w:space="0" w:color="auto"/>
            <w:right w:val="none" w:sz="0" w:space="0" w:color="auto"/>
          </w:divBdr>
          <w:divsChild>
            <w:div w:id="695468185">
              <w:marLeft w:val="0"/>
              <w:marRight w:val="0"/>
              <w:marTop w:val="0"/>
              <w:marBottom w:val="0"/>
              <w:divBdr>
                <w:top w:val="none" w:sz="0" w:space="0" w:color="auto"/>
                <w:left w:val="none" w:sz="0" w:space="0" w:color="auto"/>
                <w:bottom w:val="none" w:sz="0" w:space="0" w:color="auto"/>
                <w:right w:val="none" w:sz="0" w:space="0" w:color="auto"/>
              </w:divBdr>
              <w:divsChild>
                <w:div w:id="1047099712">
                  <w:marLeft w:val="0"/>
                  <w:marRight w:val="0"/>
                  <w:marTop w:val="0"/>
                  <w:marBottom w:val="0"/>
                  <w:divBdr>
                    <w:top w:val="none" w:sz="0" w:space="0" w:color="auto"/>
                    <w:left w:val="none" w:sz="0" w:space="0" w:color="auto"/>
                    <w:bottom w:val="none" w:sz="0" w:space="0" w:color="auto"/>
                    <w:right w:val="none" w:sz="0" w:space="0" w:color="auto"/>
                  </w:divBdr>
                  <w:divsChild>
                    <w:div w:id="7821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ntiereterzosettore.it/formazione" TargetMode="External"/><Relationship Id="rId4" Type="http://schemas.openxmlformats.org/officeDocument/2006/relationships/hyperlink" Target="https://www.cantiereterzosettore.it/riforma/rapporto-con-p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12516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Bussolino</dc:creator>
  <cp:keywords/>
  <dc:description/>
  <cp:lastModifiedBy>Enrico Bussolino</cp:lastModifiedBy>
  <cp:revision>1</cp:revision>
  <dcterms:created xsi:type="dcterms:W3CDTF">2019-11-26T11:20:00Z</dcterms:created>
  <dcterms:modified xsi:type="dcterms:W3CDTF">2019-11-26T11:20:00Z</dcterms:modified>
</cp:coreProperties>
</file>