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2E" w:rsidRPr="0087772E" w:rsidRDefault="0087772E" w:rsidP="0087772E">
      <w:pPr>
        <w:spacing w:after="161" w:line="240" w:lineRule="auto"/>
        <w:outlineLvl w:val="0"/>
        <w:rPr>
          <w:rFonts w:ascii="inherit" w:eastAsia="Times New Roman" w:hAnsi="inherit" w:cs="Arial"/>
          <w:color w:val="292B2C"/>
          <w:kern w:val="36"/>
          <w:sz w:val="48"/>
          <w:szCs w:val="48"/>
          <w:lang w:eastAsia="it-IT"/>
        </w:rPr>
      </w:pPr>
      <w:r w:rsidRPr="0087772E">
        <w:rPr>
          <w:rFonts w:ascii="inherit" w:eastAsia="Times New Roman" w:hAnsi="inherit" w:cs="Arial"/>
          <w:color w:val="292B2C"/>
          <w:kern w:val="36"/>
          <w:sz w:val="48"/>
          <w:szCs w:val="48"/>
          <w:lang w:eastAsia="it-IT"/>
        </w:rPr>
        <w:t xml:space="preserve">Reti associative, un’opportunità per gli enti di lavorare insieme 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i/>
          <w:iCs/>
          <w:color w:val="292B2C"/>
          <w:sz w:val="24"/>
          <w:szCs w:val="24"/>
          <w:lang w:eastAsia="it-IT"/>
        </w:rPr>
        <w:t>In un articolo pubblicato ieri su Il Sole 24 ore, il direttore di CSVnet Roberto Museo ripercorre le principali indicazioni da seguire per l’iscrizione al registro unico, l’organizzazione e le deroghe previste dal codice del terzo settore</w:t>
      </w: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 </w:t>
      </w:r>
    </w:p>
    <w:p w:rsidR="0087772E" w:rsidRPr="0087772E" w:rsidRDefault="0087772E" w:rsidP="0087772E">
      <w:pPr>
        <w:spacing w:after="0" w:line="240" w:lineRule="auto"/>
        <w:rPr>
          <w:rFonts w:ascii="inherit" w:eastAsia="Times New Roman" w:hAnsi="inherit" w:cs="Arial"/>
          <w:color w:val="6C6C6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6C6C6C"/>
          <w:sz w:val="24"/>
          <w:szCs w:val="24"/>
          <w:lang w:eastAsia="it-IT"/>
        </w:rPr>
        <w:t xml:space="preserve">di </w:t>
      </w:r>
      <w:r w:rsidRPr="0087772E">
        <w:rPr>
          <w:rFonts w:ascii="inherit" w:eastAsia="Times New Roman" w:hAnsi="inherit" w:cs="Arial"/>
          <w:b/>
          <w:bCs/>
          <w:color w:val="6C6C6C"/>
          <w:sz w:val="24"/>
          <w:szCs w:val="24"/>
          <w:lang w:eastAsia="it-IT"/>
        </w:rPr>
        <w:t>Roberto Museo - direttore CSVnet</w:t>
      </w:r>
      <w:r w:rsidRPr="0087772E">
        <w:rPr>
          <w:rFonts w:ascii="inherit" w:eastAsia="Times New Roman" w:hAnsi="inherit" w:cs="Arial"/>
          <w:color w:val="6C6C6C"/>
          <w:sz w:val="24"/>
          <w:szCs w:val="24"/>
          <w:lang w:eastAsia="it-IT"/>
        </w:rPr>
        <w:t xml:space="preserve"> </w:t>
      </w:r>
    </w:p>
    <w:p w:rsidR="0087772E" w:rsidRPr="0087772E" w:rsidRDefault="0087772E" w:rsidP="0087772E">
      <w:pPr>
        <w:spacing w:after="0" w:line="240" w:lineRule="auto"/>
        <w:rPr>
          <w:rFonts w:ascii="inherit" w:eastAsia="Times New Roman" w:hAnsi="inherit" w:cs="Arial"/>
          <w:color w:val="6C6C6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6C6C6C"/>
          <w:sz w:val="24"/>
          <w:szCs w:val="24"/>
          <w:lang w:eastAsia="it-IT"/>
        </w:rPr>
        <w:t xml:space="preserve">20 Giugno 2019 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All’interno del principio di sussidiarietà orizzontale, il legislatore ha individuato nelle reti associative la dimensione ideale affinché gli enti del terzo settore siano stimolati a incidere realmente sui bisogni e le attese delle persone e, nel contempo, a rispondere in maniera trasparente delle loro azioni anche nei confronti delle istituzioni.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Le reti associative si qualificano come associazioni (riconosciute o non) a cui aderiscono enti. Sono, da un lato, strumento di impulso e coordinamento degli enti stessi e, dall’altro, ente rappresentativo degli interessi di categoria.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A specificarlo è </w:t>
      </w:r>
      <w:r w:rsidRPr="0087772E">
        <w:rPr>
          <w:rFonts w:ascii="inherit" w:eastAsia="Times New Roman" w:hAnsi="inherit" w:cs="Arial"/>
          <w:b/>
          <w:bCs/>
          <w:color w:val="292B2C"/>
          <w:sz w:val="24"/>
          <w:szCs w:val="24"/>
          <w:lang w:eastAsia="it-IT"/>
        </w:rPr>
        <w:t>Roberto Museo</w:t>
      </w: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, direttore di CSVnet, in un articolo pubblicato ieri 19 giugno all’interno del focus Norme e Tributi dedicato alla riforma del terzo settore in supplemento de Il Sole 24 ore.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b/>
          <w:bCs/>
          <w:color w:val="292B2C"/>
          <w:sz w:val="24"/>
          <w:szCs w:val="24"/>
          <w:lang w:eastAsia="it-IT"/>
        </w:rPr>
        <w:t>Doppia iscrizione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Condizione affinché alla rete associativa possa applicarsi la disciplina prevista, è che la stessa si iscriva nella sezione dedicata del registro unico nazionale del terzo settore. Le reti possono iscriversi contemporaneamente in due o più sezioni del registro, potendo acquisire non solo la veste di rete ma anche, nei limiti della compatibilità strutturale, di un’altra categoria di ente (per esempio </w:t>
      </w:r>
      <w:proofErr w:type="spellStart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Odv</w:t>
      </w:r>
      <w:proofErr w:type="spellEnd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, </w:t>
      </w:r>
      <w:proofErr w:type="spellStart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Aps</w:t>
      </w:r>
      <w:proofErr w:type="spellEnd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, ente filantropico, società di mutuo soccorso).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Come specificato dal ministero del Lavoro nella circolare 20/2018, tale circostanza influisce sulla denominazione che l’ente deve utilizzare, la quale dipende dalla sezione del registro in cui lo stesso andrà a collocarsi. In particolare, se si iscrive nella sezione residuale è obbligatoria l’indicazione di “ente del terzo settore” o “</w:t>
      </w:r>
      <w:proofErr w:type="spellStart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Ets</w:t>
      </w:r>
      <w:proofErr w:type="spellEnd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”, mentre negli altri casi bisogna utilizzare la denominazione tipica della particolare categoria di riferimento (ad esempio </w:t>
      </w:r>
      <w:proofErr w:type="spellStart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Odv</w:t>
      </w:r>
      <w:proofErr w:type="spellEnd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o </w:t>
      </w:r>
      <w:proofErr w:type="spellStart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Aps</w:t>
      </w:r>
      <w:proofErr w:type="spellEnd"/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). Inoltre è necessario che i legali rappresentanti non abbiano riportato condanne passate in giudicato per reati che comportino l’interdizione dai pubblici uffici.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b/>
          <w:bCs/>
          <w:color w:val="292B2C"/>
          <w:sz w:val="24"/>
          <w:szCs w:val="24"/>
          <w:lang w:eastAsia="it-IT"/>
        </w:rPr>
        <w:t>Organizzazione e deroghe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Dal punto di vista organizzativo le reti associative rivestono la forma giuridica di associazione del terzo settore, applicando la relativa disciplina (articolo 20 e seguenti del Codice del terzo settore). Tuttavia, in ragione della particolare funzione svolta e dell’ampia compagine associativa, possono derogare ad alcune delle disposizioni obbligatorie per gli altri enti, con riferimento alla disciplina del diritto di voto e rappresentanza in assemblea. In particolare:</w:t>
      </w:r>
    </w:p>
    <w:p w:rsidR="0087772E" w:rsidRPr="0087772E" w:rsidRDefault="0087772E" w:rsidP="0087772E">
      <w:pPr>
        <w:spacing w:after="0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Symbol" w:cs="Arial"/>
          <w:color w:val="292B2C"/>
          <w:sz w:val="24"/>
          <w:szCs w:val="24"/>
          <w:lang w:eastAsia="it-IT"/>
        </w:rPr>
        <w:t></w:t>
      </w: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 gli atti costitutivi o gli statuti possono modificare il criterio di attribuzione del voto di cui all’articolo 24, comma 2, del Codice, in virtù del quale a ogni associato spetta un voto, con possibilità di riconoscere agli enti fino a cinque voti (ferma restando l’applicabilità dell’articolo </w:t>
      </w: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lastRenderedPageBreak/>
        <w:t>2373 del Codice civile che esprime il principio generale di annullabilità delle deliberazioni assunte con la partecipazione di soggetti in conflitto di interessi);</w:t>
      </w:r>
    </w:p>
    <w:p w:rsidR="0087772E" w:rsidRPr="0087772E" w:rsidRDefault="0087772E" w:rsidP="0087772E">
      <w:pPr>
        <w:spacing w:after="0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Symbol" w:cs="Arial"/>
          <w:color w:val="292B2C"/>
          <w:sz w:val="24"/>
          <w:szCs w:val="24"/>
          <w:lang w:eastAsia="it-IT"/>
        </w:rPr>
        <w:t></w:t>
      </w: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 sempre con previsione statutaria, le reti associative possono disciplinare modalità e limiti delle deleghe di voto in assemblea anche in deroga a quanto stabilito dall’articolo 24, comma 3 del Codice, che prevede fino a un massimo di 3 deleghe per gli associati, o 5 per gli enti con più di 500 associati;</w:t>
      </w:r>
    </w:p>
    <w:p w:rsidR="0087772E" w:rsidRPr="0087772E" w:rsidRDefault="0087772E" w:rsidP="0087772E">
      <w:pPr>
        <w:spacing w:after="0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Symbol" w:cs="Arial"/>
          <w:color w:val="292B2C"/>
          <w:sz w:val="24"/>
          <w:szCs w:val="24"/>
          <w:lang w:eastAsia="it-IT"/>
        </w:rPr>
        <w:t></w:t>
      </w: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 xml:space="preserve">  gli atti costitutivi o gli statuti delle reti possono disciplinare le competenze dell’assemblea degli associati anche in deroga a quanto stabilito dall’articolo 25, comma 1, del Codice.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In ogni caso, le deroghe devono preservare i principi di uguaglianza e democraticità che regolano le associazioni del terzo settore.</w:t>
      </w:r>
    </w:p>
    <w:p w:rsidR="0087772E" w:rsidRPr="0087772E" w:rsidRDefault="0087772E" w:rsidP="0087772E">
      <w:pPr>
        <w:spacing w:after="100" w:afterAutospacing="1" w:line="240" w:lineRule="auto"/>
        <w:rPr>
          <w:rFonts w:ascii="inherit" w:eastAsia="Times New Roman" w:hAnsi="inherit" w:cs="Arial"/>
          <w:color w:val="292B2C"/>
          <w:sz w:val="24"/>
          <w:szCs w:val="24"/>
          <w:lang w:eastAsia="it-IT"/>
        </w:rPr>
      </w:pPr>
      <w:hyperlink r:id="rId4" w:tgtFrame="_self" w:history="1">
        <w:r w:rsidRPr="0087772E">
          <w:rPr>
            <w:rFonts w:ascii="inherit" w:eastAsia="Times New Roman" w:hAnsi="inherit" w:cs="Arial"/>
            <w:color w:val="339966"/>
            <w:sz w:val="24"/>
            <w:szCs w:val="24"/>
            <w:u w:val="single"/>
            <w:lang w:eastAsia="it-IT"/>
          </w:rPr>
          <w:t>Una versione di questo articolo</w:t>
        </w:r>
      </w:hyperlink>
      <w:r w:rsidRPr="0087772E">
        <w:rPr>
          <w:rFonts w:ascii="inherit" w:eastAsia="Times New Roman" w:hAnsi="inherit" w:cs="Arial"/>
          <w:color w:val="292B2C"/>
          <w:sz w:val="24"/>
          <w:szCs w:val="24"/>
          <w:lang w:eastAsia="it-IT"/>
        </w:rPr>
        <w:t> è stata pubblicata mercoledì 20 giugno all’interno del supplemento dedicato al non profit del Sole 24 ore.</w:t>
      </w:r>
    </w:p>
    <w:p w:rsidR="00A35134" w:rsidRDefault="00A35134">
      <w:bookmarkStart w:id="0" w:name="_GoBack"/>
      <w:bookmarkEnd w:id="0"/>
    </w:p>
    <w:sectPr w:rsidR="00A35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2E"/>
    <w:rsid w:val="0087772E"/>
    <w:rsid w:val="00A3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E3892-C827-4900-9476-60471F90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772E"/>
    <w:pPr>
      <w:spacing w:after="16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72E"/>
    <w:rPr>
      <w:rFonts w:ascii="inherit" w:eastAsia="Times New Roman" w:hAnsi="inherit" w:cs="Times New Roman"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772E"/>
    <w:rPr>
      <w:color w:val="0066CC"/>
      <w:u w:val="singl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87772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7772E"/>
    <w:pPr>
      <w:spacing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paragraph" w:customStyle="1" w:styleId="news-info">
    <w:name w:val="news-info"/>
    <w:basedOn w:val="Normale"/>
    <w:rsid w:val="0087772E"/>
    <w:pPr>
      <w:spacing w:after="0" w:line="240" w:lineRule="auto"/>
    </w:pPr>
    <w:rPr>
      <w:rFonts w:ascii="inherit" w:eastAsia="Times New Roman" w:hAnsi="inherit" w:cs="Times New Roman"/>
      <w:color w:val="6C6C6C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777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5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vnet.it/images/CSVnet/doc/Reti_associative_-_Il_Sole_24_ore_-_Muse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Bussolino</dc:creator>
  <cp:keywords/>
  <dc:description/>
  <cp:lastModifiedBy>Enrico Bussolino</cp:lastModifiedBy>
  <cp:revision>1</cp:revision>
  <dcterms:created xsi:type="dcterms:W3CDTF">2019-07-22T12:12:00Z</dcterms:created>
  <dcterms:modified xsi:type="dcterms:W3CDTF">2019-07-22T12:13:00Z</dcterms:modified>
</cp:coreProperties>
</file>