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E6F" w:rsidRPr="00227E6F" w:rsidRDefault="00227E6F" w:rsidP="00227E6F">
      <w:pPr>
        <w:spacing w:before="225" w:after="225" w:line="300" w:lineRule="atLeast"/>
        <w:outlineLvl w:val="0"/>
        <w:rPr>
          <w:rFonts w:ascii="Arial" w:eastAsia="Times New Roman" w:hAnsi="Arial" w:cs="Arial"/>
          <w:b/>
          <w:bCs/>
          <w:color w:val="292929"/>
          <w:kern w:val="36"/>
          <w:sz w:val="54"/>
          <w:szCs w:val="54"/>
          <w:lang w:eastAsia="it-IT"/>
        </w:rPr>
      </w:pPr>
      <w:bookmarkStart w:id="0" w:name="_GoBack"/>
      <w:bookmarkEnd w:id="0"/>
      <w:r w:rsidRPr="00227E6F">
        <w:rPr>
          <w:rFonts w:ascii="Arial" w:eastAsia="Times New Roman" w:hAnsi="Arial" w:cs="Arial"/>
          <w:b/>
          <w:bCs/>
          <w:color w:val="292929"/>
          <w:kern w:val="36"/>
          <w:sz w:val="54"/>
          <w:szCs w:val="54"/>
          <w:lang w:eastAsia="it-IT"/>
        </w:rPr>
        <w:t>Le associazioni culturali: che fine faranno?</w:t>
      </w:r>
    </w:p>
    <w:p w:rsidR="00227E6F" w:rsidRDefault="00227E6F" w:rsidP="00227E6F">
      <w:pPr>
        <w:spacing w:after="0" w:line="300" w:lineRule="atLeast"/>
        <w:rPr>
          <w:rFonts w:ascii="Roboto" w:eastAsia="Times New Roman" w:hAnsi="Roboto" w:cs="Times New Roman"/>
          <w:color w:val="454545"/>
          <w:sz w:val="18"/>
          <w:szCs w:val="18"/>
          <w:lang w:eastAsia="it-IT"/>
        </w:rPr>
      </w:pPr>
      <w:r w:rsidRPr="00227E6F">
        <w:rPr>
          <w:rFonts w:ascii="Roboto" w:eastAsia="Times New Roman" w:hAnsi="Roboto" w:cs="Times New Roman"/>
          <w:color w:val="454545"/>
          <w:sz w:val="18"/>
          <w:szCs w:val="18"/>
          <w:lang w:eastAsia="it-IT"/>
        </w:rPr>
        <w:t xml:space="preserve">di </w:t>
      </w:r>
      <w:hyperlink r:id="rId4" w:history="1">
        <w:r w:rsidRPr="00227E6F">
          <w:rPr>
            <w:rFonts w:ascii="Roboto" w:eastAsia="Times New Roman" w:hAnsi="Roboto" w:cs="Times New Roman"/>
            <w:color w:val="292929"/>
            <w:sz w:val="18"/>
            <w:szCs w:val="18"/>
            <w:lang w:eastAsia="it-IT"/>
          </w:rPr>
          <w:t>Guido Martinelli</w:t>
        </w:r>
      </w:hyperlink>
      <w:r w:rsidRPr="00227E6F">
        <w:rPr>
          <w:rFonts w:ascii="Roboto" w:eastAsia="Times New Roman" w:hAnsi="Roboto" w:cs="Times New Roman"/>
          <w:color w:val="454545"/>
          <w:sz w:val="18"/>
          <w:szCs w:val="18"/>
          <w:lang w:eastAsia="it-IT"/>
        </w:rPr>
        <w:t xml:space="preserve"> </w:t>
      </w:r>
      <w:hyperlink r:id="rId5" w:tgtFrame="_blank" w:history="1">
        <w:r w:rsidRPr="00227E6F">
          <w:rPr>
            <w:rFonts w:ascii="Roboto" w:eastAsia="Times New Roman" w:hAnsi="Roboto" w:cs="Times New Roman"/>
            <w:color w:val="292929"/>
            <w:sz w:val="18"/>
            <w:szCs w:val="18"/>
            <w:lang w:eastAsia="it-IT"/>
          </w:rPr>
          <w:t xml:space="preserve">Scarica in PDF </w:t>
        </w:r>
      </w:hyperlink>
      <w:hyperlink r:id="rId6" w:tgtFrame="_blank" w:history="1">
        <w:r w:rsidRPr="00227E6F">
          <w:rPr>
            <w:rFonts w:ascii="Roboto" w:eastAsia="Times New Roman" w:hAnsi="Roboto" w:cs="Times New Roman"/>
            <w:color w:val="292929"/>
            <w:sz w:val="18"/>
            <w:szCs w:val="18"/>
            <w:lang w:eastAsia="it-IT"/>
          </w:rPr>
          <w:t xml:space="preserve">La scheda di EVOLUTION </w:t>
        </w:r>
      </w:hyperlink>
    </w:p>
    <w:p w:rsidR="00227E6F" w:rsidRPr="00227E6F" w:rsidRDefault="00227E6F" w:rsidP="00227E6F">
      <w:pPr>
        <w:spacing w:after="0" w:line="300" w:lineRule="atLeast"/>
        <w:rPr>
          <w:rFonts w:ascii="Roboto" w:eastAsia="Times New Roman" w:hAnsi="Roboto" w:cs="Times New Roman"/>
          <w:color w:val="454545"/>
          <w:sz w:val="18"/>
          <w:szCs w:val="18"/>
          <w:lang w:eastAsia="it-IT"/>
        </w:rPr>
      </w:pPr>
    </w:p>
    <w:p w:rsidR="00227E6F" w:rsidRPr="00227E6F" w:rsidRDefault="00227E6F" w:rsidP="00227E6F">
      <w:pPr>
        <w:spacing w:after="150" w:line="300" w:lineRule="atLeast"/>
        <w:jc w:val="both"/>
        <w:rPr>
          <w:rFonts w:ascii="Roboto" w:eastAsia="Times New Roman" w:hAnsi="Roboto" w:cs="Times New Roman"/>
          <w:color w:val="454545"/>
          <w:sz w:val="18"/>
          <w:szCs w:val="18"/>
          <w:lang w:eastAsia="it-IT"/>
        </w:rPr>
      </w:pPr>
      <w:r w:rsidRPr="00227E6F">
        <w:rPr>
          <w:rFonts w:ascii="Roboto" w:eastAsia="Times New Roman" w:hAnsi="Roboto" w:cs="Times New Roman"/>
          <w:color w:val="454545"/>
          <w:sz w:val="18"/>
          <w:szCs w:val="18"/>
          <w:lang w:eastAsia="it-IT"/>
        </w:rPr>
        <w:t xml:space="preserve">La prima considerazione che nasce dall’esame dei decreti delegati recanti le norme attuative della </w:t>
      </w:r>
      <w:r w:rsidRPr="00227E6F">
        <w:rPr>
          <w:rFonts w:ascii="Roboto" w:eastAsia="Times New Roman" w:hAnsi="Roboto" w:cs="Times New Roman"/>
          <w:b/>
          <w:bCs/>
          <w:color w:val="454545"/>
          <w:sz w:val="18"/>
          <w:szCs w:val="18"/>
          <w:lang w:eastAsia="it-IT"/>
        </w:rPr>
        <w:t>riforma del terzo settore</w:t>
      </w:r>
      <w:r w:rsidRPr="00227E6F">
        <w:rPr>
          <w:rFonts w:ascii="Roboto" w:eastAsia="Times New Roman" w:hAnsi="Roboto" w:cs="Times New Roman"/>
          <w:color w:val="454545"/>
          <w:sz w:val="18"/>
          <w:szCs w:val="18"/>
          <w:lang w:eastAsia="it-IT"/>
        </w:rPr>
        <w:t xml:space="preserve"> è che appare venuto meno quello che sembrava essere uno dei capisaldi della riforma, ossia il ricondurre ad una </w:t>
      </w:r>
      <w:r w:rsidRPr="00227E6F">
        <w:rPr>
          <w:rFonts w:ascii="Roboto" w:eastAsia="Times New Roman" w:hAnsi="Roboto" w:cs="Times New Roman"/>
          <w:b/>
          <w:bCs/>
          <w:color w:val="454545"/>
          <w:sz w:val="18"/>
          <w:szCs w:val="18"/>
          <w:lang w:eastAsia="it-IT"/>
        </w:rPr>
        <w:t>disciplina unitaria</w:t>
      </w:r>
      <w:r w:rsidRPr="00227E6F">
        <w:rPr>
          <w:rFonts w:ascii="Roboto" w:eastAsia="Times New Roman" w:hAnsi="Roboto" w:cs="Times New Roman"/>
          <w:color w:val="454545"/>
          <w:sz w:val="18"/>
          <w:szCs w:val="18"/>
          <w:lang w:eastAsia="it-IT"/>
        </w:rPr>
        <w:t xml:space="preserve"> tutto il mondo del non profit.</w:t>
      </w:r>
    </w:p>
    <w:p w:rsidR="00227E6F" w:rsidRPr="00227E6F" w:rsidRDefault="00227E6F" w:rsidP="00227E6F">
      <w:pPr>
        <w:spacing w:after="150" w:line="300" w:lineRule="atLeast"/>
        <w:jc w:val="both"/>
        <w:rPr>
          <w:rFonts w:ascii="Roboto" w:eastAsia="Times New Roman" w:hAnsi="Roboto" w:cs="Times New Roman"/>
          <w:color w:val="454545"/>
          <w:sz w:val="18"/>
          <w:szCs w:val="18"/>
          <w:lang w:eastAsia="it-IT"/>
        </w:rPr>
      </w:pPr>
      <w:r w:rsidRPr="00227E6F">
        <w:rPr>
          <w:rFonts w:ascii="Roboto" w:eastAsia="Times New Roman" w:hAnsi="Roboto" w:cs="Times New Roman"/>
          <w:color w:val="454545"/>
          <w:sz w:val="18"/>
          <w:szCs w:val="18"/>
          <w:lang w:eastAsia="it-IT"/>
        </w:rPr>
        <w:t xml:space="preserve">Infatti </w:t>
      </w:r>
      <w:r w:rsidRPr="00227E6F">
        <w:rPr>
          <w:rFonts w:ascii="Roboto" w:eastAsia="Times New Roman" w:hAnsi="Roboto" w:cs="Times New Roman"/>
          <w:b/>
          <w:bCs/>
          <w:color w:val="454545"/>
          <w:sz w:val="18"/>
          <w:szCs w:val="18"/>
          <w:lang w:eastAsia="it-IT"/>
        </w:rPr>
        <w:t xml:space="preserve">il “sistema” terzo </w:t>
      </w:r>
      <w:r w:rsidRPr="00227E6F">
        <w:rPr>
          <w:rFonts w:ascii="Roboto" w:eastAsia="Times New Roman" w:hAnsi="Roboto" w:cs="Times New Roman"/>
          <w:color w:val="454545"/>
          <w:sz w:val="18"/>
          <w:szCs w:val="18"/>
          <w:lang w:eastAsia="it-IT"/>
        </w:rPr>
        <w:t xml:space="preserve">settore non sostituisce la galassia fino ad oggi esistente di varie </w:t>
      </w:r>
      <w:r w:rsidRPr="00227E6F">
        <w:rPr>
          <w:rFonts w:ascii="Roboto" w:eastAsia="Times New Roman" w:hAnsi="Roboto" w:cs="Times New Roman"/>
          <w:b/>
          <w:bCs/>
          <w:color w:val="454545"/>
          <w:sz w:val="18"/>
          <w:szCs w:val="18"/>
          <w:lang w:eastAsia="it-IT"/>
        </w:rPr>
        <w:t>realtà che operano con finalità non meramente speculative</w:t>
      </w:r>
      <w:r w:rsidRPr="00227E6F">
        <w:rPr>
          <w:rFonts w:ascii="Roboto" w:eastAsia="Times New Roman" w:hAnsi="Roboto" w:cs="Times New Roman"/>
          <w:color w:val="454545"/>
          <w:sz w:val="18"/>
          <w:szCs w:val="18"/>
          <w:lang w:eastAsia="it-IT"/>
        </w:rPr>
        <w:t xml:space="preserve"> (vedi le pro loco, le sportive, i comitati organizzatori di eventi, le fondazioni, di partecipazione e non, le fondazioni bancarie, ecc.) </w:t>
      </w:r>
      <w:r w:rsidRPr="00227E6F">
        <w:rPr>
          <w:rFonts w:ascii="Roboto" w:eastAsia="Times New Roman" w:hAnsi="Roboto" w:cs="Times New Roman"/>
          <w:b/>
          <w:bCs/>
          <w:color w:val="454545"/>
          <w:sz w:val="18"/>
          <w:szCs w:val="18"/>
          <w:lang w:eastAsia="it-IT"/>
        </w:rPr>
        <w:t>ma si affianca ad esse creando un regime speciale per i soggetti che scelgono, autonomamente, di parteciparvi</w:t>
      </w:r>
      <w:r w:rsidRPr="00227E6F">
        <w:rPr>
          <w:rFonts w:ascii="Roboto" w:eastAsia="Times New Roman" w:hAnsi="Roboto" w:cs="Times New Roman"/>
          <w:color w:val="454545"/>
          <w:sz w:val="18"/>
          <w:szCs w:val="18"/>
          <w:lang w:eastAsia="it-IT"/>
        </w:rPr>
        <w:t xml:space="preserve"> attraverso l’iscrizione all’istituendo </w:t>
      </w:r>
      <w:r w:rsidRPr="00227E6F">
        <w:rPr>
          <w:rFonts w:ascii="Roboto" w:eastAsia="Times New Roman" w:hAnsi="Roboto" w:cs="Times New Roman"/>
          <w:b/>
          <w:bCs/>
          <w:color w:val="454545"/>
          <w:sz w:val="18"/>
          <w:szCs w:val="18"/>
          <w:lang w:eastAsia="it-IT"/>
        </w:rPr>
        <w:t>registro unico del terzo settore</w:t>
      </w:r>
      <w:r w:rsidRPr="00227E6F">
        <w:rPr>
          <w:rFonts w:ascii="Roboto" w:eastAsia="Times New Roman" w:hAnsi="Roboto" w:cs="Times New Roman"/>
          <w:color w:val="454545"/>
          <w:sz w:val="18"/>
          <w:szCs w:val="18"/>
          <w:lang w:eastAsia="it-IT"/>
        </w:rPr>
        <w:t>, lasciando inalterata la disciplina per quei soggetti che non intendano o che per espressa previsione legislativa non possano entrare nel terzo settore.</w:t>
      </w:r>
    </w:p>
    <w:p w:rsidR="00227E6F" w:rsidRPr="00227E6F" w:rsidRDefault="00227E6F" w:rsidP="00227E6F">
      <w:pPr>
        <w:spacing w:after="150" w:line="300" w:lineRule="atLeast"/>
        <w:jc w:val="both"/>
        <w:rPr>
          <w:rFonts w:ascii="Roboto" w:eastAsia="Times New Roman" w:hAnsi="Roboto" w:cs="Times New Roman"/>
          <w:color w:val="454545"/>
          <w:sz w:val="18"/>
          <w:szCs w:val="18"/>
          <w:lang w:eastAsia="it-IT"/>
        </w:rPr>
      </w:pPr>
      <w:r w:rsidRPr="00227E6F">
        <w:rPr>
          <w:rFonts w:ascii="Roboto" w:eastAsia="Times New Roman" w:hAnsi="Roboto" w:cs="Times New Roman"/>
          <w:color w:val="454545"/>
          <w:sz w:val="18"/>
          <w:szCs w:val="18"/>
          <w:lang w:eastAsia="it-IT"/>
        </w:rPr>
        <w:t xml:space="preserve">Da qui la domanda che ci si sente fare in questi giorni dalle numerosissime </w:t>
      </w:r>
      <w:r w:rsidRPr="00227E6F">
        <w:rPr>
          <w:rFonts w:ascii="Roboto" w:eastAsia="Times New Roman" w:hAnsi="Roboto" w:cs="Times New Roman"/>
          <w:b/>
          <w:bCs/>
          <w:color w:val="454545"/>
          <w:sz w:val="18"/>
          <w:szCs w:val="18"/>
          <w:lang w:eastAsia="it-IT"/>
        </w:rPr>
        <w:t>associazioni culturali</w:t>
      </w:r>
      <w:r w:rsidRPr="00227E6F">
        <w:rPr>
          <w:rFonts w:ascii="Roboto" w:eastAsia="Times New Roman" w:hAnsi="Roboto" w:cs="Times New Roman"/>
          <w:color w:val="454545"/>
          <w:sz w:val="18"/>
          <w:szCs w:val="18"/>
          <w:lang w:eastAsia="it-IT"/>
        </w:rPr>
        <w:t xml:space="preserve"> (bande musicali, cori, compagnie di teatro amatoriale) e </w:t>
      </w:r>
      <w:r w:rsidRPr="00227E6F">
        <w:rPr>
          <w:rFonts w:ascii="Roboto" w:eastAsia="Times New Roman" w:hAnsi="Roboto" w:cs="Times New Roman"/>
          <w:b/>
          <w:bCs/>
          <w:color w:val="454545"/>
          <w:sz w:val="18"/>
          <w:szCs w:val="18"/>
          <w:lang w:eastAsia="it-IT"/>
        </w:rPr>
        <w:t>ricreative</w:t>
      </w:r>
      <w:r w:rsidRPr="00227E6F">
        <w:rPr>
          <w:rFonts w:ascii="Roboto" w:eastAsia="Times New Roman" w:hAnsi="Roboto" w:cs="Times New Roman"/>
          <w:color w:val="454545"/>
          <w:sz w:val="18"/>
          <w:szCs w:val="18"/>
          <w:lang w:eastAsia="it-IT"/>
        </w:rPr>
        <w:t xml:space="preserve"> (le pro loco, le associazioni “ex” sportive che, svolgendo prevalentemente se non esclusivamente attività non più riconosciute come sportive dal Coni, vedi il burraco, si trovano “espulse” dal mondo delle ASD) che operano sul territorio. </w:t>
      </w:r>
      <w:r w:rsidRPr="00227E6F">
        <w:rPr>
          <w:rFonts w:ascii="Roboto" w:eastAsia="Times New Roman" w:hAnsi="Roboto" w:cs="Times New Roman"/>
          <w:b/>
          <w:bCs/>
          <w:color w:val="454545"/>
          <w:sz w:val="18"/>
          <w:szCs w:val="18"/>
          <w:lang w:eastAsia="it-IT"/>
        </w:rPr>
        <w:t>Che fine facciamo</w:t>
      </w:r>
      <w:r w:rsidRPr="00227E6F">
        <w:rPr>
          <w:rFonts w:ascii="Roboto" w:eastAsia="Times New Roman" w:hAnsi="Roboto" w:cs="Times New Roman"/>
          <w:color w:val="454545"/>
          <w:sz w:val="18"/>
          <w:szCs w:val="18"/>
          <w:lang w:eastAsia="it-IT"/>
        </w:rPr>
        <w:t>? Ci conviene entrare nel terzo settore? Sono realtà che, fino ad oggi, in gran parte si sono amministrate facendo riferimento, per l’attività istituzionale all’</w:t>
      </w:r>
      <w:hyperlink r:id="rId7" w:tgtFrame="_blank" w:history="1">
        <w:r w:rsidRPr="00227E6F">
          <w:rPr>
            <w:rFonts w:ascii="Roboto" w:eastAsia="Times New Roman" w:hAnsi="Roboto" w:cs="Times New Roman"/>
            <w:b/>
            <w:bCs/>
            <w:color w:val="292929"/>
            <w:sz w:val="18"/>
            <w:szCs w:val="18"/>
            <w:lang w:eastAsia="it-IT"/>
          </w:rPr>
          <w:t xml:space="preserve">articolo 148 del </w:t>
        </w:r>
        <w:proofErr w:type="spellStart"/>
        <w:r w:rsidRPr="00227E6F">
          <w:rPr>
            <w:rFonts w:ascii="Roboto" w:eastAsia="Times New Roman" w:hAnsi="Roboto" w:cs="Times New Roman"/>
            <w:b/>
            <w:bCs/>
            <w:color w:val="292929"/>
            <w:sz w:val="18"/>
            <w:szCs w:val="18"/>
            <w:lang w:eastAsia="it-IT"/>
          </w:rPr>
          <w:t>Tuir</w:t>
        </w:r>
        <w:proofErr w:type="spellEnd"/>
      </w:hyperlink>
      <w:r w:rsidRPr="00227E6F">
        <w:rPr>
          <w:rFonts w:ascii="Roboto" w:eastAsia="Times New Roman" w:hAnsi="Roboto" w:cs="Times New Roman"/>
          <w:color w:val="454545"/>
          <w:sz w:val="18"/>
          <w:szCs w:val="18"/>
          <w:lang w:eastAsia="it-IT"/>
        </w:rPr>
        <w:t xml:space="preserve"> e per la parte commerciale optando per gli adempimenti di cui alla </w:t>
      </w:r>
      <w:r w:rsidRPr="00227E6F">
        <w:rPr>
          <w:rFonts w:ascii="Roboto" w:eastAsia="Times New Roman" w:hAnsi="Roboto" w:cs="Times New Roman"/>
          <w:b/>
          <w:bCs/>
          <w:color w:val="454545"/>
          <w:sz w:val="18"/>
          <w:szCs w:val="18"/>
          <w:lang w:eastAsia="it-IT"/>
        </w:rPr>
        <w:t>L. 398/1991</w:t>
      </w:r>
      <w:r w:rsidRPr="00227E6F">
        <w:rPr>
          <w:rFonts w:ascii="Roboto" w:eastAsia="Times New Roman" w:hAnsi="Roboto" w:cs="Times New Roman"/>
          <w:color w:val="454545"/>
          <w:sz w:val="18"/>
          <w:szCs w:val="18"/>
          <w:lang w:eastAsia="it-IT"/>
        </w:rPr>
        <w:t xml:space="preserve">, agevolazioni che saranno perdute a seguito della progressiva entrata in vigore del </w:t>
      </w:r>
      <w:r w:rsidRPr="00227E6F">
        <w:rPr>
          <w:rFonts w:ascii="Roboto" w:eastAsia="Times New Roman" w:hAnsi="Roboto" w:cs="Times New Roman"/>
          <w:b/>
          <w:bCs/>
          <w:color w:val="454545"/>
          <w:sz w:val="18"/>
          <w:szCs w:val="18"/>
          <w:lang w:eastAsia="it-IT"/>
        </w:rPr>
        <w:t>codice del terzo settore</w:t>
      </w:r>
    </w:p>
    <w:p w:rsidR="00227E6F" w:rsidRPr="00227E6F" w:rsidRDefault="00227E6F" w:rsidP="00227E6F">
      <w:pPr>
        <w:spacing w:after="150" w:line="300" w:lineRule="atLeast"/>
        <w:jc w:val="both"/>
        <w:rPr>
          <w:rFonts w:ascii="Roboto" w:eastAsia="Times New Roman" w:hAnsi="Roboto" w:cs="Times New Roman"/>
          <w:color w:val="454545"/>
          <w:sz w:val="18"/>
          <w:szCs w:val="18"/>
          <w:lang w:eastAsia="it-IT"/>
        </w:rPr>
      </w:pPr>
      <w:r w:rsidRPr="00227E6F">
        <w:rPr>
          <w:rFonts w:ascii="Roboto" w:eastAsia="Times New Roman" w:hAnsi="Roboto" w:cs="Times New Roman"/>
          <w:color w:val="454545"/>
          <w:sz w:val="18"/>
          <w:szCs w:val="18"/>
          <w:lang w:eastAsia="it-IT"/>
        </w:rPr>
        <w:t xml:space="preserve">Innanzi tutto diciamo subito che, </w:t>
      </w:r>
      <w:r w:rsidRPr="00227E6F">
        <w:rPr>
          <w:rFonts w:ascii="Roboto" w:eastAsia="Times New Roman" w:hAnsi="Roboto" w:cs="Times New Roman"/>
          <w:b/>
          <w:bCs/>
          <w:color w:val="454545"/>
          <w:sz w:val="18"/>
          <w:szCs w:val="18"/>
          <w:lang w:eastAsia="it-IT"/>
        </w:rPr>
        <w:t>per detti enti</w:t>
      </w:r>
      <w:r w:rsidRPr="00227E6F">
        <w:rPr>
          <w:rFonts w:ascii="Roboto" w:eastAsia="Times New Roman" w:hAnsi="Roboto" w:cs="Times New Roman"/>
          <w:color w:val="454545"/>
          <w:sz w:val="18"/>
          <w:szCs w:val="18"/>
          <w:lang w:eastAsia="it-IT"/>
        </w:rPr>
        <w:t xml:space="preserve"> che non sono “più sportivi” e che non sono associazioni di promozione sociale, Onlus o organizzazioni di volontariato, </w:t>
      </w:r>
      <w:r w:rsidRPr="00227E6F">
        <w:rPr>
          <w:rFonts w:ascii="Roboto" w:eastAsia="Times New Roman" w:hAnsi="Roboto" w:cs="Times New Roman"/>
          <w:b/>
          <w:bCs/>
          <w:color w:val="454545"/>
          <w:sz w:val="18"/>
          <w:szCs w:val="18"/>
          <w:lang w:eastAsia="it-IT"/>
        </w:rPr>
        <w:t>la disciplina applicabile quest’anno</w:t>
      </w:r>
      <w:r w:rsidRPr="00227E6F">
        <w:rPr>
          <w:rFonts w:ascii="Roboto" w:eastAsia="Times New Roman" w:hAnsi="Roboto" w:cs="Times New Roman"/>
          <w:color w:val="454545"/>
          <w:sz w:val="18"/>
          <w:szCs w:val="18"/>
          <w:lang w:eastAsia="it-IT"/>
        </w:rPr>
        <w:t xml:space="preserve"> (e comunque fino alla definitiva entrata in vigore del nuovo registro unico del terzo settore, presumibilmente primo gennaio 2020) </w:t>
      </w:r>
      <w:r w:rsidRPr="00227E6F">
        <w:rPr>
          <w:rFonts w:ascii="Roboto" w:eastAsia="Times New Roman" w:hAnsi="Roboto" w:cs="Times New Roman"/>
          <w:b/>
          <w:bCs/>
          <w:color w:val="454545"/>
          <w:sz w:val="18"/>
          <w:szCs w:val="18"/>
          <w:lang w:eastAsia="it-IT"/>
        </w:rPr>
        <w:t>sarà la medesima dell’anno scorso</w:t>
      </w:r>
      <w:r w:rsidRPr="00227E6F">
        <w:rPr>
          <w:rFonts w:ascii="Roboto" w:eastAsia="Times New Roman" w:hAnsi="Roboto" w:cs="Times New Roman"/>
          <w:color w:val="454545"/>
          <w:sz w:val="18"/>
          <w:szCs w:val="18"/>
          <w:lang w:eastAsia="it-IT"/>
        </w:rPr>
        <w:t xml:space="preserve"> in quanto le modifiche introdotte dal titolo X del </w:t>
      </w:r>
      <w:r w:rsidRPr="00227E6F">
        <w:rPr>
          <w:rFonts w:ascii="Roboto" w:eastAsia="Times New Roman" w:hAnsi="Roboto" w:cs="Times New Roman"/>
          <w:b/>
          <w:bCs/>
          <w:color w:val="454545"/>
          <w:sz w:val="18"/>
          <w:szCs w:val="18"/>
          <w:lang w:eastAsia="it-IT"/>
        </w:rPr>
        <w:t>codice del terzo settore</w:t>
      </w:r>
      <w:r w:rsidRPr="00227E6F">
        <w:rPr>
          <w:rFonts w:ascii="Roboto" w:eastAsia="Times New Roman" w:hAnsi="Roboto" w:cs="Times New Roman"/>
          <w:color w:val="454545"/>
          <w:sz w:val="18"/>
          <w:szCs w:val="18"/>
          <w:lang w:eastAsia="it-IT"/>
        </w:rPr>
        <w:t xml:space="preserve"> (tra le quali, appunto, la perdita del diritto di applicare le due agevolazioni citate) alla disciplina fiscale degli enti decorreranno solo dal periodo di imposta successivo alla entrata in vigore del </w:t>
      </w:r>
      <w:r w:rsidRPr="00227E6F">
        <w:rPr>
          <w:rFonts w:ascii="Roboto" w:eastAsia="Times New Roman" w:hAnsi="Roboto" w:cs="Times New Roman"/>
          <w:b/>
          <w:bCs/>
          <w:color w:val="454545"/>
          <w:sz w:val="18"/>
          <w:szCs w:val="18"/>
          <w:lang w:eastAsia="it-IT"/>
        </w:rPr>
        <w:t>registro unico del terzo settore</w:t>
      </w:r>
      <w:r w:rsidRPr="00227E6F">
        <w:rPr>
          <w:rFonts w:ascii="Roboto" w:eastAsia="Times New Roman" w:hAnsi="Roboto" w:cs="Times New Roman"/>
          <w:color w:val="454545"/>
          <w:sz w:val="18"/>
          <w:szCs w:val="18"/>
          <w:lang w:eastAsia="it-IT"/>
        </w:rPr>
        <w:t>.</w:t>
      </w:r>
    </w:p>
    <w:p w:rsidR="00227E6F" w:rsidRPr="00227E6F" w:rsidRDefault="00227E6F" w:rsidP="00227E6F">
      <w:pPr>
        <w:spacing w:after="150" w:line="300" w:lineRule="atLeast"/>
        <w:jc w:val="both"/>
        <w:rPr>
          <w:rFonts w:ascii="Roboto" w:eastAsia="Times New Roman" w:hAnsi="Roboto" w:cs="Times New Roman"/>
          <w:color w:val="454545"/>
          <w:sz w:val="18"/>
          <w:szCs w:val="18"/>
          <w:lang w:eastAsia="it-IT"/>
        </w:rPr>
      </w:pPr>
      <w:r w:rsidRPr="00227E6F">
        <w:rPr>
          <w:rFonts w:ascii="Roboto" w:eastAsia="Times New Roman" w:hAnsi="Roboto" w:cs="Times New Roman"/>
          <w:color w:val="454545"/>
          <w:sz w:val="18"/>
          <w:szCs w:val="18"/>
          <w:lang w:eastAsia="it-IT"/>
        </w:rPr>
        <w:t xml:space="preserve">Pertanto qualsiasi ente senza scopo di lucro che non sia già iscritto ai registri delle Onlus, organizzazioni di volontariato o di promozione sociale o che abbia la veste di cooperativa sociale mantiene la sua natura giuridica precedente e non diventa (di diritto o automaticamente) ente del terzo settore. Lo diventerà solo se, sussistendone i presupposti, chiederà l’iscrizione al nuovo </w:t>
      </w:r>
      <w:r w:rsidRPr="00227E6F">
        <w:rPr>
          <w:rFonts w:ascii="Roboto" w:eastAsia="Times New Roman" w:hAnsi="Roboto" w:cs="Times New Roman"/>
          <w:b/>
          <w:bCs/>
          <w:color w:val="454545"/>
          <w:sz w:val="18"/>
          <w:szCs w:val="18"/>
          <w:lang w:eastAsia="it-IT"/>
        </w:rPr>
        <w:t>registro unico del terzo settore</w:t>
      </w:r>
      <w:r w:rsidRPr="00227E6F">
        <w:rPr>
          <w:rFonts w:ascii="Roboto" w:eastAsia="Times New Roman" w:hAnsi="Roboto" w:cs="Times New Roman"/>
          <w:color w:val="454545"/>
          <w:sz w:val="18"/>
          <w:szCs w:val="18"/>
          <w:lang w:eastAsia="it-IT"/>
        </w:rPr>
        <w:t>.</w:t>
      </w:r>
    </w:p>
    <w:p w:rsidR="00227E6F" w:rsidRPr="00227E6F" w:rsidRDefault="00227E6F" w:rsidP="00227E6F">
      <w:pPr>
        <w:spacing w:after="150" w:line="300" w:lineRule="atLeast"/>
        <w:jc w:val="both"/>
        <w:rPr>
          <w:rFonts w:ascii="Roboto" w:eastAsia="Times New Roman" w:hAnsi="Roboto" w:cs="Times New Roman"/>
          <w:color w:val="454545"/>
          <w:sz w:val="18"/>
          <w:szCs w:val="18"/>
          <w:lang w:eastAsia="it-IT"/>
        </w:rPr>
      </w:pPr>
      <w:r w:rsidRPr="00227E6F">
        <w:rPr>
          <w:rFonts w:ascii="Roboto" w:eastAsia="Times New Roman" w:hAnsi="Roboto" w:cs="Times New Roman"/>
          <w:color w:val="454545"/>
          <w:sz w:val="18"/>
          <w:szCs w:val="18"/>
          <w:lang w:eastAsia="it-IT"/>
        </w:rPr>
        <w:t xml:space="preserve">Del resto </w:t>
      </w:r>
      <w:r w:rsidRPr="00227E6F">
        <w:rPr>
          <w:rFonts w:ascii="Roboto" w:eastAsia="Times New Roman" w:hAnsi="Roboto" w:cs="Times New Roman"/>
          <w:b/>
          <w:bCs/>
          <w:color w:val="454545"/>
          <w:sz w:val="18"/>
          <w:szCs w:val="18"/>
          <w:lang w:eastAsia="it-IT"/>
        </w:rPr>
        <w:t>chi rimarrà fuori dal terzo settore sarà in buona compagnia</w:t>
      </w:r>
      <w:r w:rsidRPr="00227E6F">
        <w:rPr>
          <w:rFonts w:ascii="Roboto" w:eastAsia="Times New Roman" w:hAnsi="Roboto" w:cs="Times New Roman"/>
          <w:color w:val="454545"/>
          <w:sz w:val="18"/>
          <w:szCs w:val="18"/>
          <w:lang w:eastAsia="it-IT"/>
        </w:rPr>
        <w:t xml:space="preserve">. Infatti non potranno, invece, mai diventare </w:t>
      </w:r>
      <w:r w:rsidRPr="00227E6F">
        <w:rPr>
          <w:rFonts w:ascii="Roboto" w:eastAsia="Times New Roman" w:hAnsi="Roboto" w:cs="Times New Roman"/>
          <w:b/>
          <w:bCs/>
          <w:color w:val="454545"/>
          <w:sz w:val="18"/>
          <w:szCs w:val="18"/>
          <w:lang w:eastAsia="it-IT"/>
        </w:rPr>
        <w:t>enti del terzo settore</w:t>
      </w:r>
      <w:r w:rsidRPr="00227E6F">
        <w:rPr>
          <w:rFonts w:ascii="Roboto" w:eastAsia="Times New Roman" w:hAnsi="Roboto" w:cs="Times New Roman"/>
          <w:color w:val="454545"/>
          <w:sz w:val="18"/>
          <w:szCs w:val="18"/>
          <w:lang w:eastAsia="it-IT"/>
        </w:rPr>
        <w:t>, per espressa preclusione contenuta nel secondo comma dell’</w:t>
      </w:r>
      <w:hyperlink r:id="rId8" w:tgtFrame="_blank" w:history="1">
        <w:r w:rsidRPr="00227E6F">
          <w:rPr>
            <w:rFonts w:ascii="Roboto" w:eastAsia="Times New Roman" w:hAnsi="Roboto" w:cs="Times New Roman"/>
            <w:b/>
            <w:bCs/>
            <w:color w:val="292929"/>
            <w:sz w:val="18"/>
            <w:szCs w:val="18"/>
            <w:lang w:eastAsia="it-IT"/>
          </w:rPr>
          <w:t xml:space="preserve">articolo 4 </w:t>
        </w:r>
        <w:proofErr w:type="spellStart"/>
        <w:r w:rsidRPr="00227E6F">
          <w:rPr>
            <w:rFonts w:ascii="Roboto" w:eastAsia="Times New Roman" w:hAnsi="Roboto" w:cs="Times New Roman"/>
            <w:b/>
            <w:bCs/>
            <w:color w:val="292929"/>
            <w:sz w:val="18"/>
            <w:szCs w:val="18"/>
            <w:lang w:eastAsia="it-IT"/>
          </w:rPr>
          <w:t>D.Lgs.</w:t>
        </w:r>
        <w:proofErr w:type="spellEnd"/>
        <w:r w:rsidRPr="00227E6F">
          <w:rPr>
            <w:rFonts w:ascii="Roboto" w:eastAsia="Times New Roman" w:hAnsi="Roboto" w:cs="Times New Roman"/>
            <w:b/>
            <w:bCs/>
            <w:color w:val="292929"/>
            <w:sz w:val="18"/>
            <w:szCs w:val="18"/>
            <w:lang w:eastAsia="it-IT"/>
          </w:rPr>
          <w:t xml:space="preserve"> 117/2017</w:t>
        </w:r>
      </w:hyperlink>
      <w:r w:rsidRPr="00227E6F">
        <w:rPr>
          <w:rFonts w:ascii="Roboto" w:eastAsia="Times New Roman" w:hAnsi="Roboto" w:cs="Times New Roman"/>
          <w:color w:val="454545"/>
          <w:sz w:val="18"/>
          <w:szCs w:val="18"/>
          <w:lang w:eastAsia="it-IT"/>
        </w:rPr>
        <w:t xml:space="preserve"> le associazioni politiche, i sindacati, le associazioni professionali e di rappresentanza di categorie economiche, le associazioni di datori di lavoro nonché gli enti sottoposti a direzione e coordinamento o controllati dai suddetti enti.</w:t>
      </w:r>
    </w:p>
    <w:p w:rsidR="00227E6F" w:rsidRPr="00227E6F" w:rsidRDefault="00227E6F" w:rsidP="00227E6F">
      <w:pPr>
        <w:spacing w:after="150" w:line="300" w:lineRule="atLeast"/>
        <w:jc w:val="both"/>
        <w:rPr>
          <w:rFonts w:ascii="Roboto" w:eastAsia="Times New Roman" w:hAnsi="Roboto" w:cs="Times New Roman"/>
          <w:color w:val="454545"/>
          <w:sz w:val="18"/>
          <w:szCs w:val="18"/>
          <w:lang w:eastAsia="it-IT"/>
        </w:rPr>
      </w:pPr>
      <w:r w:rsidRPr="00227E6F">
        <w:rPr>
          <w:rFonts w:ascii="Roboto" w:eastAsia="Times New Roman" w:hAnsi="Roboto" w:cs="Times New Roman"/>
          <w:color w:val="454545"/>
          <w:sz w:val="18"/>
          <w:szCs w:val="18"/>
          <w:lang w:eastAsia="it-IT"/>
        </w:rPr>
        <w:t xml:space="preserve">Godranno di una </w:t>
      </w:r>
      <w:r w:rsidRPr="00227E6F">
        <w:rPr>
          <w:rFonts w:ascii="Roboto" w:eastAsia="Times New Roman" w:hAnsi="Roboto" w:cs="Times New Roman"/>
          <w:b/>
          <w:bCs/>
          <w:color w:val="454545"/>
          <w:sz w:val="18"/>
          <w:szCs w:val="18"/>
          <w:lang w:eastAsia="it-IT"/>
        </w:rPr>
        <w:t>disciplina particolare</w:t>
      </w:r>
      <w:r w:rsidRPr="00227E6F">
        <w:rPr>
          <w:rFonts w:ascii="Roboto" w:eastAsia="Times New Roman" w:hAnsi="Roboto" w:cs="Times New Roman"/>
          <w:color w:val="454545"/>
          <w:sz w:val="18"/>
          <w:szCs w:val="18"/>
          <w:lang w:eastAsia="it-IT"/>
        </w:rPr>
        <w:t xml:space="preserve"> i soggetti operanti nella </w:t>
      </w:r>
      <w:r w:rsidRPr="00227E6F">
        <w:rPr>
          <w:rFonts w:ascii="Roboto" w:eastAsia="Times New Roman" w:hAnsi="Roboto" w:cs="Times New Roman"/>
          <w:b/>
          <w:bCs/>
          <w:color w:val="454545"/>
          <w:sz w:val="18"/>
          <w:szCs w:val="18"/>
          <w:lang w:eastAsia="it-IT"/>
        </w:rPr>
        <w:t>protezione civile</w:t>
      </w:r>
      <w:r w:rsidRPr="00227E6F">
        <w:rPr>
          <w:rFonts w:ascii="Roboto" w:eastAsia="Times New Roman" w:hAnsi="Roboto" w:cs="Times New Roman"/>
          <w:color w:val="454545"/>
          <w:sz w:val="18"/>
          <w:szCs w:val="18"/>
          <w:lang w:eastAsia="it-IT"/>
        </w:rPr>
        <w:t xml:space="preserve"> e i corpi volontari dei </w:t>
      </w:r>
      <w:r w:rsidRPr="00227E6F">
        <w:rPr>
          <w:rFonts w:ascii="Roboto" w:eastAsia="Times New Roman" w:hAnsi="Roboto" w:cs="Times New Roman"/>
          <w:b/>
          <w:bCs/>
          <w:color w:val="454545"/>
          <w:sz w:val="18"/>
          <w:szCs w:val="18"/>
          <w:lang w:eastAsia="it-IT"/>
        </w:rPr>
        <w:t>vigili del fuoco</w:t>
      </w:r>
      <w:r w:rsidRPr="00227E6F">
        <w:rPr>
          <w:rFonts w:ascii="Roboto" w:eastAsia="Times New Roman" w:hAnsi="Roboto" w:cs="Times New Roman"/>
          <w:color w:val="454545"/>
          <w:sz w:val="18"/>
          <w:szCs w:val="18"/>
          <w:lang w:eastAsia="it-IT"/>
        </w:rPr>
        <w:t xml:space="preserve"> delle provincie autonome di Trento e Bolzano e della regione autonoma della Valle d’Aosta.</w:t>
      </w:r>
    </w:p>
    <w:p w:rsidR="00227E6F" w:rsidRPr="00227E6F" w:rsidRDefault="00227E6F" w:rsidP="00227E6F">
      <w:pPr>
        <w:spacing w:after="150" w:line="300" w:lineRule="atLeast"/>
        <w:jc w:val="both"/>
        <w:rPr>
          <w:rFonts w:ascii="Roboto" w:eastAsia="Times New Roman" w:hAnsi="Roboto" w:cs="Times New Roman"/>
          <w:color w:val="454545"/>
          <w:sz w:val="18"/>
          <w:szCs w:val="18"/>
          <w:lang w:eastAsia="it-IT"/>
        </w:rPr>
      </w:pPr>
      <w:r w:rsidRPr="00227E6F">
        <w:rPr>
          <w:rFonts w:ascii="Roboto" w:eastAsia="Times New Roman" w:hAnsi="Roboto" w:cs="Times New Roman"/>
          <w:color w:val="454545"/>
          <w:sz w:val="18"/>
          <w:szCs w:val="18"/>
          <w:lang w:eastAsia="it-IT"/>
        </w:rPr>
        <w:t xml:space="preserve">Il </w:t>
      </w:r>
      <w:r w:rsidRPr="00227E6F">
        <w:rPr>
          <w:rFonts w:ascii="Roboto" w:eastAsia="Times New Roman" w:hAnsi="Roboto" w:cs="Times New Roman"/>
          <w:b/>
          <w:bCs/>
          <w:color w:val="454545"/>
          <w:sz w:val="18"/>
          <w:szCs w:val="18"/>
          <w:lang w:eastAsia="it-IT"/>
        </w:rPr>
        <w:t>codice del terzo settore</w:t>
      </w:r>
      <w:r w:rsidRPr="00227E6F">
        <w:rPr>
          <w:rFonts w:ascii="Roboto" w:eastAsia="Times New Roman" w:hAnsi="Roboto" w:cs="Times New Roman"/>
          <w:color w:val="454545"/>
          <w:sz w:val="18"/>
          <w:szCs w:val="18"/>
          <w:lang w:eastAsia="it-IT"/>
        </w:rPr>
        <w:t xml:space="preserve">, cioè una disciplina di 103 articoli che racchiude la parte civilistica, quella fiscale, il registro unico del terzo settore e l’introduzione di una serie di nuovi organi di controllo prevede l’abrogazione della </w:t>
      </w:r>
      <w:r w:rsidRPr="00227E6F">
        <w:rPr>
          <w:rFonts w:ascii="Roboto" w:eastAsia="Times New Roman" w:hAnsi="Roboto" w:cs="Times New Roman"/>
          <w:b/>
          <w:bCs/>
          <w:color w:val="454545"/>
          <w:sz w:val="18"/>
          <w:szCs w:val="18"/>
          <w:lang w:eastAsia="it-IT"/>
        </w:rPr>
        <w:t>L. 266/1991</w:t>
      </w:r>
      <w:r w:rsidRPr="00227E6F">
        <w:rPr>
          <w:rFonts w:ascii="Roboto" w:eastAsia="Times New Roman" w:hAnsi="Roboto" w:cs="Times New Roman"/>
          <w:color w:val="454545"/>
          <w:sz w:val="18"/>
          <w:szCs w:val="18"/>
          <w:lang w:eastAsia="it-IT"/>
        </w:rPr>
        <w:t xml:space="preserve"> e della </w:t>
      </w:r>
      <w:r w:rsidRPr="00227E6F">
        <w:rPr>
          <w:rFonts w:ascii="Roboto" w:eastAsia="Times New Roman" w:hAnsi="Roboto" w:cs="Times New Roman"/>
          <w:b/>
          <w:bCs/>
          <w:color w:val="454545"/>
          <w:sz w:val="18"/>
          <w:szCs w:val="18"/>
          <w:lang w:eastAsia="it-IT"/>
        </w:rPr>
        <w:t>L. 383/2000</w:t>
      </w:r>
      <w:r w:rsidRPr="00227E6F">
        <w:rPr>
          <w:rFonts w:ascii="Roboto" w:eastAsia="Times New Roman" w:hAnsi="Roboto" w:cs="Times New Roman"/>
          <w:color w:val="454545"/>
          <w:sz w:val="18"/>
          <w:szCs w:val="18"/>
          <w:lang w:eastAsia="it-IT"/>
        </w:rPr>
        <w:t>. Pertanto tutte le associazioni di volontariato e di promozione sociale dovranno necessariamente, per rimanere tali, uniformarsi alle disposizioni del nuovo decreto.</w:t>
      </w:r>
    </w:p>
    <w:p w:rsidR="00227E6F" w:rsidRPr="00227E6F" w:rsidRDefault="00227E6F" w:rsidP="00227E6F">
      <w:pPr>
        <w:spacing w:after="150" w:line="300" w:lineRule="atLeast"/>
        <w:jc w:val="both"/>
        <w:rPr>
          <w:rFonts w:ascii="Roboto" w:eastAsia="Times New Roman" w:hAnsi="Roboto" w:cs="Times New Roman"/>
          <w:color w:val="454545"/>
          <w:sz w:val="18"/>
          <w:szCs w:val="18"/>
          <w:lang w:eastAsia="it-IT"/>
        </w:rPr>
      </w:pPr>
      <w:r w:rsidRPr="00227E6F">
        <w:rPr>
          <w:rFonts w:ascii="Roboto" w:eastAsia="Times New Roman" w:hAnsi="Roboto" w:cs="Times New Roman"/>
          <w:color w:val="454545"/>
          <w:sz w:val="18"/>
          <w:szCs w:val="18"/>
          <w:lang w:eastAsia="it-IT"/>
        </w:rPr>
        <w:t>Nulla viene detto, invece, per l’</w:t>
      </w:r>
      <w:hyperlink r:id="rId9" w:tgtFrame="_blank" w:history="1">
        <w:r w:rsidRPr="00227E6F">
          <w:rPr>
            <w:rFonts w:ascii="Roboto" w:eastAsia="Times New Roman" w:hAnsi="Roboto" w:cs="Times New Roman"/>
            <w:b/>
            <w:bCs/>
            <w:color w:val="292929"/>
            <w:sz w:val="18"/>
            <w:szCs w:val="18"/>
            <w:lang w:eastAsia="it-IT"/>
          </w:rPr>
          <w:t>articolo 90 L. 289/2002</w:t>
        </w:r>
      </w:hyperlink>
      <w:r w:rsidRPr="00227E6F">
        <w:rPr>
          <w:rFonts w:ascii="Roboto" w:eastAsia="Times New Roman" w:hAnsi="Roboto" w:cs="Times New Roman"/>
          <w:color w:val="454545"/>
          <w:sz w:val="18"/>
          <w:szCs w:val="18"/>
          <w:lang w:eastAsia="it-IT"/>
        </w:rPr>
        <w:t xml:space="preserve"> che, come è noto, disciplina appunto le </w:t>
      </w:r>
      <w:r w:rsidRPr="00227E6F">
        <w:rPr>
          <w:rFonts w:ascii="Roboto" w:eastAsia="Times New Roman" w:hAnsi="Roboto" w:cs="Times New Roman"/>
          <w:b/>
          <w:bCs/>
          <w:color w:val="454545"/>
          <w:sz w:val="18"/>
          <w:szCs w:val="18"/>
          <w:lang w:eastAsia="it-IT"/>
        </w:rPr>
        <w:t>attività sportive dilettantistiche</w:t>
      </w:r>
      <w:r w:rsidRPr="00227E6F">
        <w:rPr>
          <w:rFonts w:ascii="Roboto" w:eastAsia="Times New Roman" w:hAnsi="Roboto" w:cs="Times New Roman"/>
          <w:color w:val="454545"/>
          <w:sz w:val="18"/>
          <w:szCs w:val="18"/>
          <w:lang w:eastAsia="it-IT"/>
        </w:rPr>
        <w:t>.</w:t>
      </w:r>
    </w:p>
    <w:p w:rsidR="00227E6F" w:rsidRPr="00227E6F" w:rsidRDefault="00227E6F" w:rsidP="00227E6F">
      <w:pPr>
        <w:spacing w:after="150" w:line="300" w:lineRule="atLeast"/>
        <w:jc w:val="both"/>
        <w:rPr>
          <w:rFonts w:ascii="Roboto" w:eastAsia="Times New Roman" w:hAnsi="Roboto" w:cs="Times New Roman"/>
          <w:color w:val="454545"/>
          <w:sz w:val="18"/>
          <w:szCs w:val="18"/>
          <w:lang w:eastAsia="it-IT"/>
        </w:rPr>
      </w:pPr>
      <w:r w:rsidRPr="00227E6F">
        <w:rPr>
          <w:rFonts w:ascii="Roboto" w:eastAsia="Times New Roman" w:hAnsi="Roboto" w:cs="Times New Roman"/>
          <w:color w:val="454545"/>
          <w:sz w:val="18"/>
          <w:szCs w:val="18"/>
          <w:lang w:eastAsia="it-IT"/>
        </w:rPr>
        <w:lastRenderedPageBreak/>
        <w:t xml:space="preserve">Vengono abrogati gli articoli relativi alla disciplina delle Onlus che, così, scompariranno come entità autonome all’interno del nostro ordinamento. </w:t>
      </w:r>
      <w:r w:rsidRPr="00227E6F">
        <w:rPr>
          <w:rFonts w:ascii="Roboto" w:eastAsia="Times New Roman" w:hAnsi="Roboto" w:cs="Times New Roman"/>
          <w:b/>
          <w:bCs/>
          <w:color w:val="454545"/>
          <w:sz w:val="18"/>
          <w:szCs w:val="18"/>
          <w:lang w:eastAsia="it-IT"/>
        </w:rPr>
        <w:t>Le attuali Onlus dovranno decidere se convertirsi in una delle tipologie di ente del terzo settore o se operare solo come ente senza scopo di lucro</w:t>
      </w:r>
      <w:r w:rsidRPr="00227E6F">
        <w:rPr>
          <w:rFonts w:ascii="Roboto" w:eastAsia="Times New Roman" w:hAnsi="Roboto" w:cs="Times New Roman"/>
          <w:color w:val="454545"/>
          <w:sz w:val="18"/>
          <w:szCs w:val="18"/>
          <w:lang w:eastAsia="it-IT"/>
        </w:rPr>
        <w:t>.</w:t>
      </w:r>
    </w:p>
    <w:p w:rsidR="00227E6F" w:rsidRPr="00227E6F" w:rsidRDefault="00227E6F" w:rsidP="00227E6F">
      <w:pPr>
        <w:spacing w:after="150" w:line="300" w:lineRule="atLeast"/>
        <w:jc w:val="both"/>
        <w:rPr>
          <w:rFonts w:ascii="Roboto" w:eastAsia="Times New Roman" w:hAnsi="Roboto" w:cs="Times New Roman"/>
          <w:color w:val="454545"/>
          <w:sz w:val="18"/>
          <w:szCs w:val="18"/>
          <w:lang w:eastAsia="it-IT"/>
        </w:rPr>
      </w:pPr>
      <w:r w:rsidRPr="00227E6F">
        <w:rPr>
          <w:rFonts w:ascii="Roboto" w:eastAsia="Times New Roman" w:hAnsi="Roboto" w:cs="Times New Roman"/>
          <w:color w:val="454545"/>
          <w:sz w:val="18"/>
          <w:szCs w:val="18"/>
          <w:lang w:eastAsia="it-IT"/>
        </w:rPr>
        <w:t xml:space="preserve">Ne deriva che, una volta a regime la riforma, </w:t>
      </w:r>
      <w:r w:rsidRPr="00227E6F">
        <w:rPr>
          <w:rFonts w:ascii="Roboto" w:eastAsia="Times New Roman" w:hAnsi="Roboto" w:cs="Times New Roman"/>
          <w:b/>
          <w:bCs/>
          <w:color w:val="454545"/>
          <w:sz w:val="18"/>
          <w:szCs w:val="18"/>
          <w:lang w:eastAsia="it-IT"/>
        </w:rPr>
        <w:t>le associazioni culturali</w:t>
      </w:r>
      <w:r w:rsidRPr="00227E6F">
        <w:rPr>
          <w:rFonts w:ascii="Roboto" w:eastAsia="Times New Roman" w:hAnsi="Roboto" w:cs="Times New Roman"/>
          <w:color w:val="454545"/>
          <w:sz w:val="18"/>
          <w:szCs w:val="18"/>
          <w:lang w:eastAsia="it-IT"/>
        </w:rPr>
        <w:t xml:space="preserve"> potranno diventare </w:t>
      </w:r>
      <w:r w:rsidRPr="00227E6F">
        <w:rPr>
          <w:rFonts w:ascii="Roboto" w:eastAsia="Times New Roman" w:hAnsi="Roboto" w:cs="Times New Roman"/>
          <w:b/>
          <w:bCs/>
          <w:color w:val="454545"/>
          <w:sz w:val="18"/>
          <w:szCs w:val="18"/>
          <w:lang w:eastAsia="it-IT"/>
        </w:rPr>
        <w:t>associazioni di promozione sociale</w:t>
      </w:r>
      <w:r w:rsidRPr="00227E6F">
        <w:rPr>
          <w:rFonts w:ascii="Roboto" w:eastAsia="Times New Roman" w:hAnsi="Roboto" w:cs="Times New Roman"/>
          <w:color w:val="454545"/>
          <w:sz w:val="18"/>
          <w:szCs w:val="18"/>
          <w:lang w:eastAsia="it-IT"/>
        </w:rPr>
        <w:t xml:space="preserve">, ma, in tal, caso, saranno soggette alla disciplina prevista per tale fattispecie dal </w:t>
      </w:r>
      <w:r w:rsidRPr="00227E6F">
        <w:rPr>
          <w:rFonts w:ascii="Roboto" w:eastAsia="Times New Roman" w:hAnsi="Roboto" w:cs="Times New Roman"/>
          <w:b/>
          <w:bCs/>
          <w:color w:val="454545"/>
          <w:sz w:val="18"/>
          <w:szCs w:val="18"/>
          <w:lang w:eastAsia="it-IT"/>
        </w:rPr>
        <w:t>codice del terzo settore</w:t>
      </w:r>
      <w:r w:rsidRPr="00227E6F">
        <w:rPr>
          <w:rFonts w:ascii="Roboto" w:eastAsia="Times New Roman" w:hAnsi="Roboto" w:cs="Times New Roman"/>
          <w:color w:val="454545"/>
          <w:sz w:val="18"/>
          <w:szCs w:val="18"/>
          <w:lang w:eastAsia="it-IT"/>
        </w:rPr>
        <w:t xml:space="preserve">, o </w:t>
      </w:r>
      <w:r w:rsidRPr="00227E6F">
        <w:rPr>
          <w:rFonts w:ascii="Roboto" w:eastAsia="Times New Roman" w:hAnsi="Roboto" w:cs="Times New Roman"/>
          <w:b/>
          <w:bCs/>
          <w:color w:val="454545"/>
          <w:sz w:val="18"/>
          <w:szCs w:val="18"/>
          <w:lang w:eastAsia="it-IT"/>
        </w:rPr>
        <w:t>rimarranno come realtà</w:t>
      </w:r>
      <w:r w:rsidRPr="00227E6F">
        <w:rPr>
          <w:rFonts w:ascii="Roboto" w:eastAsia="Times New Roman" w:hAnsi="Roboto" w:cs="Times New Roman"/>
          <w:color w:val="454545"/>
          <w:sz w:val="18"/>
          <w:szCs w:val="18"/>
          <w:lang w:eastAsia="it-IT"/>
        </w:rPr>
        <w:t xml:space="preserve"> non soggette ad alcuna disciplina speciale, </w:t>
      </w:r>
      <w:r w:rsidRPr="00227E6F">
        <w:rPr>
          <w:rFonts w:ascii="Roboto" w:eastAsia="Times New Roman" w:hAnsi="Roboto" w:cs="Times New Roman"/>
          <w:b/>
          <w:bCs/>
          <w:color w:val="454545"/>
          <w:sz w:val="18"/>
          <w:szCs w:val="18"/>
          <w:lang w:eastAsia="it-IT"/>
        </w:rPr>
        <w:t>rette dalla normativa del primo libro del codice civile e soggette alla disciplina generale degli enti non commercial</w:t>
      </w:r>
      <w:r w:rsidRPr="00227E6F">
        <w:rPr>
          <w:rFonts w:ascii="Roboto" w:eastAsia="Times New Roman" w:hAnsi="Roboto" w:cs="Times New Roman"/>
          <w:color w:val="454545"/>
          <w:sz w:val="18"/>
          <w:szCs w:val="18"/>
          <w:lang w:eastAsia="it-IT"/>
        </w:rPr>
        <w:t>i prevista dal novellato testo unico delle imposte sui redditi.</w:t>
      </w:r>
    </w:p>
    <w:p w:rsidR="00227E6F" w:rsidRPr="00227E6F" w:rsidRDefault="00227E6F" w:rsidP="00227E6F">
      <w:pPr>
        <w:spacing w:after="150" w:line="300" w:lineRule="atLeast"/>
        <w:jc w:val="both"/>
        <w:rPr>
          <w:rFonts w:ascii="Roboto" w:eastAsia="Times New Roman" w:hAnsi="Roboto" w:cs="Times New Roman"/>
          <w:color w:val="454545"/>
          <w:sz w:val="18"/>
          <w:szCs w:val="18"/>
          <w:lang w:eastAsia="it-IT"/>
        </w:rPr>
      </w:pPr>
      <w:r w:rsidRPr="00227E6F">
        <w:rPr>
          <w:rFonts w:ascii="Roboto" w:eastAsia="Times New Roman" w:hAnsi="Roboto" w:cs="Times New Roman"/>
          <w:color w:val="454545"/>
          <w:sz w:val="18"/>
          <w:szCs w:val="18"/>
          <w:lang w:eastAsia="it-IT"/>
        </w:rPr>
        <w:t xml:space="preserve">Rimane un ultimo problema da esaminare. Come è noto </w:t>
      </w:r>
      <w:r w:rsidRPr="00227E6F">
        <w:rPr>
          <w:rFonts w:ascii="Roboto" w:eastAsia="Times New Roman" w:hAnsi="Roboto" w:cs="Times New Roman"/>
          <w:b/>
          <w:bCs/>
          <w:color w:val="454545"/>
          <w:sz w:val="18"/>
          <w:szCs w:val="18"/>
          <w:lang w:eastAsia="it-IT"/>
        </w:rPr>
        <w:t>i cori, le bande musicali e le compagnie filodrammatiche</w:t>
      </w:r>
      <w:r w:rsidRPr="00227E6F">
        <w:rPr>
          <w:rFonts w:ascii="Roboto" w:eastAsia="Times New Roman" w:hAnsi="Roboto" w:cs="Times New Roman"/>
          <w:color w:val="454545"/>
          <w:sz w:val="18"/>
          <w:szCs w:val="18"/>
          <w:lang w:eastAsia="it-IT"/>
        </w:rPr>
        <w:t xml:space="preserve"> possono riconoscere ai propri direttori artistici e tecnici dilettanti i compensi c.d. sportivi disciplinati dall’</w:t>
      </w:r>
      <w:hyperlink r:id="rId10" w:tgtFrame="_blank" w:history="1">
        <w:r w:rsidRPr="00227E6F">
          <w:rPr>
            <w:rFonts w:ascii="Roboto" w:eastAsia="Times New Roman" w:hAnsi="Roboto" w:cs="Times New Roman"/>
            <w:b/>
            <w:bCs/>
            <w:color w:val="292929"/>
            <w:sz w:val="18"/>
            <w:szCs w:val="18"/>
            <w:lang w:eastAsia="it-IT"/>
          </w:rPr>
          <w:t xml:space="preserve">articolo 67, comma 1, </w:t>
        </w:r>
        <w:proofErr w:type="spellStart"/>
        <w:r w:rsidRPr="00227E6F">
          <w:rPr>
            <w:rFonts w:ascii="Roboto" w:eastAsia="Times New Roman" w:hAnsi="Roboto" w:cs="Times New Roman"/>
            <w:b/>
            <w:bCs/>
            <w:color w:val="292929"/>
            <w:sz w:val="18"/>
            <w:szCs w:val="18"/>
            <w:lang w:eastAsia="it-IT"/>
          </w:rPr>
          <w:t>lett</w:t>
        </w:r>
        <w:proofErr w:type="spellEnd"/>
        <w:r w:rsidRPr="00227E6F">
          <w:rPr>
            <w:rFonts w:ascii="Roboto" w:eastAsia="Times New Roman" w:hAnsi="Roboto" w:cs="Times New Roman"/>
            <w:b/>
            <w:bCs/>
            <w:color w:val="292929"/>
            <w:sz w:val="18"/>
            <w:szCs w:val="18"/>
            <w:lang w:eastAsia="it-IT"/>
          </w:rPr>
          <w:t xml:space="preserve">. m), </w:t>
        </w:r>
        <w:proofErr w:type="spellStart"/>
        <w:r w:rsidRPr="00227E6F">
          <w:rPr>
            <w:rFonts w:ascii="Roboto" w:eastAsia="Times New Roman" w:hAnsi="Roboto" w:cs="Times New Roman"/>
            <w:b/>
            <w:bCs/>
            <w:color w:val="292929"/>
            <w:sz w:val="18"/>
            <w:szCs w:val="18"/>
            <w:lang w:eastAsia="it-IT"/>
          </w:rPr>
          <w:t>Tuir</w:t>
        </w:r>
        <w:proofErr w:type="spellEnd"/>
      </w:hyperlink>
      <w:r w:rsidRPr="00227E6F">
        <w:rPr>
          <w:rFonts w:ascii="Roboto" w:eastAsia="Times New Roman" w:hAnsi="Roboto" w:cs="Times New Roman"/>
          <w:color w:val="454545"/>
          <w:sz w:val="18"/>
          <w:szCs w:val="18"/>
          <w:lang w:eastAsia="it-IT"/>
        </w:rPr>
        <w:t xml:space="preserve">. Per la parte relativa alle sportive la Legge di Bilancio 2018 li ha qualificati collaborazione coordinata e continuativa. Essendo la medesima fattispecie concreta è possibile che si debba giungere alla stessa fattispecie astratta. E </w:t>
      </w:r>
      <w:r w:rsidRPr="00227E6F">
        <w:rPr>
          <w:rFonts w:ascii="Roboto" w:eastAsia="Times New Roman" w:hAnsi="Roboto" w:cs="Times New Roman"/>
          <w:b/>
          <w:bCs/>
          <w:color w:val="454545"/>
          <w:sz w:val="18"/>
          <w:szCs w:val="18"/>
          <w:lang w:eastAsia="it-IT"/>
        </w:rPr>
        <w:t>se così fosse scatterebbero per loro anche gli obblighi della comunicazione al centro per l’impiego e collegati.</w:t>
      </w:r>
    </w:p>
    <w:p w:rsidR="00227E6F" w:rsidRPr="00227E6F" w:rsidRDefault="00227E6F" w:rsidP="00227E6F">
      <w:pPr>
        <w:spacing w:after="150" w:line="300" w:lineRule="atLeast"/>
        <w:jc w:val="both"/>
        <w:rPr>
          <w:rFonts w:ascii="Roboto" w:eastAsia="Times New Roman" w:hAnsi="Roboto" w:cs="Times New Roman"/>
          <w:color w:val="454545"/>
          <w:sz w:val="18"/>
          <w:szCs w:val="18"/>
          <w:lang w:eastAsia="it-IT"/>
        </w:rPr>
      </w:pPr>
      <w:r w:rsidRPr="00227E6F">
        <w:rPr>
          <w:rFonts w:ascii="Roboto" w:eastAsia="Times New Roman" w:hAnsi="Roboto" w:cs="Times New Roman"/>
          <w:b/>
          <w:bCs/>
          <w:color w:val="454545"/>
          <w:sz w:val="18"/>
          <w:szCs w:val="18"/>
          <w:lang w:eastAsia="it-IT"/>
        </w:rPr>
        <w:t>Al danno</w:t>
      </w:r>
      <w:r w:rsidRPr="00227E6F">
        <w:rPr>
          <w:rFonts w:ascii="Roboto" w:eastAsia="Times New Roman" w:hAnsi="Roboto" w:cs="Times New Roman"/>
          <w:color w:val="454545"/>
          <w:sz w:val="18"/>
          <w:szCs w:val="18"/>
          <w:lang w:eastAsia="it-IT"/>
        </w:rPr>
        <w:t xml:space="preserve"> della perdita delle agevolazioni fiscali della </w:t>
      </w:r>
      <w:r w:rsidRPr="00227E6F">
        <w:rPr>
          <w:rFonts w:ascii="Roboto" w:eastAsia="Times New Roman" w:hAnsi="Roboto" w:cs="Times New Roman"/>
          <w:b/>
          <w:bCs/>
          <w:color w:val="454545"/>
          <w:sz w:val="18"/>
          <w:szCs w:val="18"/>
          <w:lang w:eastAsia="it-IT"/>
        </w:rPr>
        <w:t>L. 398/1991</w:t>
      </w:r>
      <w:r w:rsidRPr="00227E6F">
        <w:rPr>
          <w:rFonts w:ascii="Roboto" w:eastAsia="Times New Roman" w:hAnsi="Roboto" w:cs="Times New Roman"/>
          <w:color w:val="454545"/>
          <w:sz w:val="18"/>
          <w:szCs w:val="18"/>
          <w:lang w:eastAsia="it-IT"/>
        </w:rPr>
        <w:t xml:space="preserve"> e dell’</w:t>
      </w:r>
      <w:hyperlink r:id="rId11" w:tgtFrame="_blank" w:history="1">
        <w:r w:rsidRPr="00227E6F">
          <w:rPr>
            <w:rFonts w:ascii="Roboto" w:eastAsia="Times New Roman" w:hAnsi="Roboto" w:cs="Times New Roman"/>
            <w:b/>
            <w:bCs/>
            <w:color w:val="292929"/>
            <w:sz w:val="18"/>
            <w:szCs w:val="18"/>
            <w:lang w:eastAsia="it-IT"/>
          </w:rPr>
          <w:t xml:space="preserve">articolo 148 </w:t>
        </w:r>
        <w:proofErr w:type="spellStart"/>
        <w:r w:rsidRPr="00227E6F">
          <w:rPr>
            <w:rFonts w:ascii="Roboto" w:eastAsia="Times New Roman" w:hAnsi="Roboto" w:cs="Times New Roman"/>
            <w:b/>
            <w:bCs/>
            <w:color w:val="292929"/>
            <w:sz w:val="18"/>
            <w:szCs w:val="18"/>
            <w:lang w:eastAsia="it-IT"/>
          </w:rPr>
          <w:t>Tuir</w:t>
        </w:r>
        <w:proofErr w:type="spellEnd"/>
      </w:hyperlink>
      <w:r w:rsidRPr="00227E6F">
        <w:rPr>
          <w:rFonts w:ascii="Roboto" w:eastAsia="Times New Roman" w:hAnsi="Roboto" w:cs="Times New Roman"/>
          <w:color w:val="454545"/>
          <w:sz w:val="18"/>
          <w:szCs w:val="18"/>
          <w:lang w:eastAsia="it-IT"/>
        </w:rPr>
        <w:t xml:space="preserve"> </w:t>
      </w:r>
      <w:r w:rsidRPr="00227E6F">
        <w:rPr>
          <w:rFonts w:ascii="Roboto" w:eastAsia="Times New Roman" w:hAnsi="Roboto" w:cs="Times New Roman"/>
          <w:b/>
          <w:bCs/>
          <w:color w:val="454545"/>
          <w:sz w:val="18"/>
          <w:szCs w:val="18"/>
          <w:lang w:eastAsia="it-IT"/>
        </w:rPr>
        <w:t>anche la beffa dell’aumento degli adempimenti formali.</w:t>
      </w:r>
    </w:p>
    <w:p w:rsidR="000D1BB6" w:rsidRDefault="000D1BB6"/>
    <w:sectPr w:rsidR="000D1B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6F"/>
    <w:rsid w:val="000D1BB6"/>
    <w:rsid w:val="00227E6F"/>
    <w:rsid w:val="00A86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00EEE-8F9D-4D7A-A3F3-E523B237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227E6F"/>
    <w:pPr>
      <w:spacing w:before="225" w:after="225" w:line="300" w:lineRule="atLeast"/>
      <w:outlineLvl w:val="0"/>
    </w:pPr>
    <w:rPr>
      <w:rFonts w:ascii="Arial" w:eastAsia="Times New Roman" w:hAnsi="Arial" w:cs="Arial"/>
      <w:b/>
      <w:bCs/>
      <w:color w:val="292929"/>
      <w:kern w:val="36"/>
      <w:sz w:val="54"/>
      <w:szCs w:val="5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27E6F"/>
    <w:rPr>
      <w:rFonts w:ascii="Arial" w:eastAsia="Times New Roman" w:hAnsi="Arial" w:cs="Arial"/>
      <w:b/>
      <w:bCs/>
      <w:color w:val="292929"/>
      <w:kern w:val="36"/>
      <w:sz w:val="54"/>
      <w:szCs w:val="54"/>
      <w:lang w:eastAsia="it-IT"/>
    </w:rPr>
  </w:style>
  <w:style w:type="character" w:styleId="Collegamentoipertestuale">
    <w:name w:val="Hyperlink"/>
    <w:basedOn w:val="Carpredefinitoparagrafo"/>
    <w:uiPriority w:val="99"/>
    <w:semiHidden/>
    <w:unhideWhenUsed/>
    <w:rsid w:val="00227E6F"/>
    <w:rPr>
      <w:strike w:val="0"/>
      <w:dstrike w:val="0"/>
      <w:color w:val="292929"/>
      <w:u w:val="none"/>
      <w:effect w:val="none"/>
      <w:shd w:val="clear" w:color="auto" w:fill="auto"/>
    </w:rPr>
  </w:style>
  <w:style w:type="character" w:styleId="Enfasigrassetto">
    <w:name w:val="Strong"/>
    <w:basedOn w:val="Carpredefinitoparagrafo"/>
    <w:uiPriority w:val="22"/>
    <w:qFormat/>
    <w:rsid w:val="00227E6F"/>
    <w:rPr>
      <w:b/>
      <w:bCs/>
    </w:rPr>
  </w:style>
  <w:style w:type="paragraph" w:styleId="NormaleWeb">
    <w:name w:val="Normal (Web)"/>
    <w:basedOn w:val="Normale"/>
    <w:uiPriority w:val="99"/>
    <w:semiHidden/>
    <w:unhideWhenUsed/>
    <w:rsid w:val="00227E6F"/>
    <w:pPr>
      <w:spacing w:after="150" w:line="240" w:lineRule="auto"/>
    </w:pPr>
    <w:rPr>
      <w:rFonts w:ascii="Times New Roman" w:eastAsia="Times New Roman" w:hAnsi="Times New Roman" w:cs="Times New Roman"/>
      <w:sz w:val="24"/>
      <w:szCs w:val="24"/>
      <w:lang w:eastAsia="it-IT"/>
    </w:rPr>
  </w:style>
  <w:style w:type="character" w:customStyle="1" w:styleId="sottotitolo-post1">
    <w:name w:val="sottotitolo-post1"/>
    <w:basedOn w:val="Carpredefinitoparagrafo"/>
    <w:rsid w:val="00227E6F"/>
  </w:style>
  <w:style w:type="character" w:customStyle="1" w:styleId="autore-post">
    <w:name w:val="autore-post"/>
    <w:basedOn w:val="Carpredefinitoparagrafo"/>
    <w:rsid w:val="0022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1763">
      <w:bodyDiv w:val="1"/>
      <w:marLeft w:val="0"/>
      <w:marRight w:val="0"/>
      <w:marTop w:val="0"/>
      <w:marBottom w:val="0"/>
      <w:divBdr>
        <w:top w:val="none" w:sz="0" w:space="0" w:color="auto"/>
        <w:left w:val="none" w:sz="0" w:space="0" w:color="auto"/>
        <w:bottom w:val="none" w:sz="0" w:space="0" w:color="auto"/>
        <w:right w:val="none" w:sz="0" w:space="0" w:color="auto"/>
      </w:divBdr>
      <w:divsChild>
        <w:div w:id="900097228">
          <w:marLeft w:val="0"/>
          <w:marRight w:val="0"/>
          <w:marTop w:val="0"/>
          <w:marBottom w:val="0"/>
          <w:divBdr>
            <w:top w:val="none" w:sz="0" w:space="0" w:color="auto"/>
            <w:left w:val="single" w:sz="6" w:space="0" w:color="D9D9D9"/>
            <w:bottom w:val="none" w:sz="0" w:space="0" w:color="auto"/>
            <w:right w:val="single" w:sz="6" w:space="0" w:color="D9D9D9"/>
          </w:divBdr>
          <w:divsChild>
            <w:div w:id="764686641">
              <w:marLeft w:val="0"/>
              <w:marRight w:val="0"/>
              <w:marTop w:val="0"/>
              <w:marBottom w:val="0"/>
              <w:divBdr>
                <w:top w:val="none" w:sz="0" w:space="0" w:color="auto"/>
                <w:left w:val="none" w:sz="0" w:space="0" w:color="auto"/>
                <w:bottom w:val="none" w:sz="0" w:space="0" w:color="auto"/>
                <w:right w:val="single" w:sz="6" w:space="0" w:color="D9D9D9"/>
              </w:divBdr>
              <w:divsChild>
                <w:div w:id="5743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e.ecevolution.it/loginServlet?encParam=2BC33BAB50DEB65769B02E934C74360DA255C4A582C3BD032F88F55BE22350A1D31026048C7EC5BBC9E5021BDB0E584CC425F59379E54E0A64FE418DF6B42D7871F4D52318B1AE32053845F3409799628D0140400DFCBAFCF32CCC0C12F5ABF6C97C665B2C605E06A573ACDD374D69FB63ABEB73CA83B2DE40164A9E5EBC0F7DB9FA07F5BEC0CB255978A49B49F92BA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ortale.ecevolution.it/loginServlet?encParam=3A5FC1136192DF68B4BFFEFBC8870A36CC21B79E44319762A37A3A5F692C052C4568ADE35BB731D157B6537F0206C2B8B1F9B94FC413F8D64CFDC15ACD955D75689BC39C7DC54DADB6B4D3B8DBAAD545D24D54E72D87257198C9669B887529F29131AEB61A2C88F2041E914F88AA622A3F169B869BB0408E68428B61EB4F0F5707C8C8EDC3EC5FA52082ED897BEC238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e.ecevolution.it/loginServlet?encParam=DF07DDF7BC565E333125E327F37E9F303419DD096E1D4E94F35BE9C476A6D21951CE20175B8921C2C7C030C92882D3993141C189401E2BE7CCAC51C5B0E74D7AAD846A05C3E4595F2592017519E96F7650DABA5B393CDD28AF4F5587F3760754270BD217A89535C8" TargetMode="External"/><Relationship Id="rId11" Type="http://schemas.openxmlformats.org/officeDocument/2006/relationships/hyperlink" Target="http://portale.ecevolution.it/loginServlet?encParam=3A5FC1136192DF68B4BFFEFBC8870A36CC21B79E44319762A37A3A5F692C052C4568ADE35BB731D157B6537F0206C2B8B1F9B94FC413F8D64CFDC15ACD955D75689BC39C7DC54DADB6B4D3B8DBAAD545D24D54E72D87257198C9669B887529F29131AEB61A2C88F2041E914F88AA622A3F169B869BB0408E68428B61EB4F0F5707C8C8EDC3EC5FA52082ED897BEC2382" TargetMode="External"/><Relationship Id="rId5" Type="http://schemas.openxmlformats.org/officeDocument/2006/relationships/hyperlink" Target="https://www.ecnews.it/wp-content/uploads/pdf/2018-03-19_le-associazioni-culturali-fine.pdf" TargetMode="External"/><Relationship Id="rId10" Type="http://schemas.openxmlformats.org/officeDocument/2006/relationships/hyperlink" Target="http://portale.ecevolution.it/loginServlet?encParam=3A5FC1136192DF68B4BFFEFBC8870A36CC21B79E44319762A37A3A5F692C052C4568ADE35BB731D157B6537F0206C2B8B1F9B94FC413F8D64CFDC15ACD955D75689BC39C7DC54DADB6B4D3B8DBAAD545D24D54E72D87257198C9669B887529F29131AEB61A2C88F2C2331FCFDD49016DABCDFE3FEBE845061CE9DB80B1FB1455A68E20CB0781D0262A73341725FCFCE3" TargetMode="External"/><Relationship Id="rId4" Type="http://schemas.openxmlformats.org/officeDocument/2006/relationships/hyperlink" Target="https://www.ecnews.it/autori/guido-martinelli/" TargetMode="External"/><Relationship Id="rId9" Type="http://schemas.openxmlformats.org/officeDocument/2006/relationships/hyperlink" Target="http://portale.ecevolution.it/loginServlet?encParam=545C2EBD501252287F3222A6406298DF635D8EED2DB7DEC22758EE966A4EE7ED0141C09B1C127A403ABE5B4D8DFE7B12BCFCAB815F5A8689BEE9C1430478258E78B18BC7D753658D973AB04C822D422C36B3AC706DF156CA3D834873C693260F7776B06CD905158A6D865178D677A2BA558EA9F44376B7287D763B72FE4C866D86A79347ED4873632C2551C69BB132C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1197</Words>
  <Characters>6827</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Bussolino</dc:creator>
  <cp:keywords/>
  <dc:description/>
  <cp:lastModifiedBy>Enrico Bussolino</cp:lastModifiedBy>
  <cp:revision>2</cp:revision>
  <dcterms:created xsi:type="dcterms:W3CDTF">2019-07-22T12:35:00Z</dcterms:created>
  <dcterms:modified xsi:type="dcterms:W3CDTF">2019-07-22T12:35:00Z</dcterms:modified>
</cp:coreProperties>
</file>